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0" w:firstLineChars="0"/>
        <w:rPr>
          <w:rFonts w:hint="eastAsia"/>
          <w:highlight w:val="none"/>
        </w:rPr>
      </w:pPr>
      <w:r>
        <w:rPr>
          <w:rFonts w:hint="eastAsia"/>
          <w:highlight w:val="none"/>
        </w:rPr>
        <w:t>附件</w:t>
      </w:r>
    </w:p>
    <w:p>
      <w:pPr>
        <w:ind w:firstLine="640"/>
        <w:rPr>
          <w:rFonts w:hint="eastAsia"/>
          <w:highlight w:val="none"/>
        </w:rPr>
      </w:pPr>
    </w:p>
    <w:p>
      <w:pPr>
        <w:pStyle w:val="3"/>
        <w:rPr>
          <w:rFonts w:hint="eastAsia" w:eastAsia="方正小标宋简体"/>
          <w:color w:val="auto"/>
          <w:kern w:val="28"/>
          <w:highlight w:val="none"/>
          <w:lang w:eastAsia="zh-CN"/>
        </w:rPr>
      </w:pPr>
      <w:r>
        <w:rPr>
          <w:rFonts w:hint="eastAsia"/>
          <w:color w:val="auto"/>
          <w:kern w:val="28"/>
          <w:highlight w:val="none"/>
          <w:lang w:eastAsia="zh-CN"/>
        </w:rPr>
        <w:t>岳阳市洞庭湖江豚保护中心</w:t>
      </w:r>
    </w:p>
    <w:p>
      <w:pPr>
        <w:pStyle w:val="3"/>
        <w:rPr>
          <w:rFonts w:hint="eastAsia" w:ascii="方正小标宋简体" w:hAnsi="方正小标宋简体" w:cs="方正小标宋简体"/>
          <w:color w:val="auto"/>
          <w:kern w:val="28"/>
          <w:highlight w:val="none"/>
        </w:rPr>
      </w:pPr>
      <w:r>
        <w:rPr>
          <w:rFonts w:hint="eastAsia" w:ascii="方正小标宋简体" w:hAnsi="方正小标宋简体" w:cs="方正小标宋简体"/>
          <w:color w:val="auto"/>
          <w:kern w:val="28"/>
          <w:highlight w:val="none"/>
        </w:rPr>
        <w:t>202</w:t>
      </w:r>
      <w:r>
        <w:rPr>
          <w:rFonts w:hint="eastAsia" w:ascii="方正小标宋简体" w:hAnsi="方正小标宋简体" w:cs="方正小标宋简体"/>
          <w:color w:val="auto"/>
          <w:kern w:val="28"/>
          <w:highlight w:val="none"/>
          <w:lang w:val="en-US" w:eastAsia="zh-CN"/>
        </w:rPr>
        <w:t>2</w:t>
      </w:r>
      <w:r>
        <w:rPr>
          <w:rFonts w:hint="eastAsia" w:ascii="方正小标宋简体" w:hAnsi="方正小标宋简体" w:cs="方正小标宋简体"/>
          <w:color w:val="auto"/>
          <w:kern w:val="28"/>
          <w:highlight w:val="none"/>
        </w:rPr>
        <w:t>年度</w:t>
      </w:r>
      <w:r>
        <w:rPr>
          <w:rFonts w:hint="eastAsia" w:ascii="方正小标宋简体" w:hAnsi="方正小标宋简体" w:cs="方正小标宋简体"/>
          <w:color w:val="auto"/>
          <w:kern w:val="28"/>
          <w:highlight w:val="none"/>
          <w:lang w:eastAsia="zh-CN"/>
        </w:rPr>
        <w:t>单位</w:t>
      </w:r>
      <w:r>
        <w:rPr>
          <w:rFonts w:hint="eastAsia" w:ascii="方正小标宋简体" w:hAnsi="方正小标宋简体" w:cs="方正小标宋简体"/>
          <w:color w:val="auto"/>
          <w:kern w:val="28"/>
          <w:highlight w:val="none"/>
        </w:rPr>
        <w:t>整体支出绩效自评报告</w:t>
      </w:r>
    </w:p>
    <w:p>
      <w:pPr>
        <w:ind w:firstLine="640"/>
        <w:rPr>
          <w:kern w:val="0"/>
          <w:highlight w:val="none"/>
        </w:rPr>
      </w:pPr>
    </w:p>
    <w:p>
      <w:pPr>
        <w:keepNext w:val="0"/>
        <w:keepLines w:val="0"/>
        <w:pageBreakBefore w:val="0"/>
        <w:widowControl w:val="0"/>
        <w:kinsoku/>
        <w:wordWrap/>
        <w:overflowPunct/>
        <w:topLinePunct w:val="0"/>
        <w:autoSpaceDE/>
        <w:autoSpaceDN/>
        <w:bidi w:val="0"/>
        <w:adjustRightInd/>
        <w:snapToGrid/>
        <w:spacing w:line="640" w:lineRule="exact"/>
        <w:jc w:val="left"/>
        <w:textAlignment w:val="auto"/>
        <w:rPr>
          <w:spacing w:val="-6"/>
          <w:highlight w:val="none"/>
        </w:rPr>
      </w:pPr>
      <w:r>
        <w:rPr>
          <w:highlight w:val="none"/>
        </w:rPr>
        <w:t>为加强财政支出管理，提高财政资金使用效益，根据</w:t>
      </w:r>
      <w:r>
        <w:rPr>
          <w:rFonts w:hint="eastAsia"/>
          <w:highlight w:val="none"/>
          <w:lang w:eastAsia="zh-CN"/>
        </w:rPr>
        <w:t>岳阳市预算绩效管理领导小组办公室《关于开展</w:t>
      </w:r>
      <w:r>
        <w:rPr>
          <w:rFonts w:hint="eastAsia"/>
          <w:highlight w:val="none"/>
          <w:lang w:val="en-US" w:eastAsia="zh-CN"/>
        </w:rPr>
        <w:t>2022年度市级预算支出绩效自评工作</w:t>
      </w:r>
      <w:r>
        <w:rPr>
          <w:rFonts w:hint="eastAsia"/>
          <w:highlight w:val="none"/>
          <w:lang w:eastAsia="zh-CN"/>
        </w:rPr>
        <w:t>的通知》要求</w:t>
      </w:r>
      <w:r>
        <w:rPr>
          <w:highlight w:val="none"/>
        </w:rPr>
        <w:t>，</w:t>
      </w:r>
      <w:r>
        <w:rPr>
          <w:rFonts w:hint="eastAsia"/>
          <w:highlight w:val="none"/>
          <w:lang w:eastAsia="zh-CN"/>
        </w:rPr>
        <w:t>岳阳市洞庭湖江豚保护中心</w:t>
      </w:r>
      <w:r>
        <w:rPr>
          <w:spacing w:val="-6"/>
          <w:highlight w:val="none"/>
        </w:rPr>
        <w:t>于202</w:t>
      </w:r>
      <w:r>
        <w:rPr>
          <w:rFonts w:hint="eastAsia"/>
          <w:spacing w:val="-6"/>
          <w:highlight w:val="none"/>
          <w:lang w:val="en-US" w:eastAsia="zh-CN"/>
        </w:rPr>
        <w:t>3</w:t>
      </w:r>
      <w:r>
        <w:rPr>
          <w:spacing w:val="-6"/>
          <w:highlight w:val="none"/>
        </w:rPr>
        <w:t>年</w:t>
      </w:r>
      <w:r>
        <w:rPr>
          <w:rFonts w:hint="eastAsia"/>
          <w:spacing w:val="-6"/>
          <w:highlight w:val="none"/>
          <w:lang w:val="en-US" w:eastAsia="zh-CN"/>
        </w:rPr>
        <w:t>6-7</w:t>
      </w:r>
      <w:r>
        <w:rPr>
          <w:spacing w:val="-6"/>
          <w:highlight w:val="none"/>
        </w:rPr>
        <w:t>月对202</w:t>
      </w:r>
      <w:r>
        <w:rPr>
          <w:rFonts w:hint="eastAsia"/>
          <w:spacing w:val="-6"/>
          <w:highlight w:val="none"/>
          <w:lang w:val="en-US" w:eastAsia="zh-CN"/>
        </w:rPr>
        <w:t>2</w:t>
      </w:r>
      <w:r>
        <w:rPr>
          <w:spacing w:val="-6"/>
          <w:highlight w:val="none"/>
        </w:rPr>
        <w:t>年</w:t>
      </w:r>
      <w:r>
        <w:rPr>
          <w:rFonts w:hint="eastAsia"/>
          <w:spacing w:val="-6"/>
          <w:highlight w:val="none"/>
          <w:lang w:eastAsia="zh-CN"/>
        </w:rPr>
        <w:t>单位</w:t>
      </w:r>
      <w:r>
        <w:rPr>
          <w:spacing w:val="-6"/>
          <w:highlight w:val="none"/>
        </w:rPr>
        <w:t>整体支出进行了绩效自评，现将自评情况报告如下：</w:t>
      </w:r>
    </w:p>
    <w:p>
      <w:pPr>
        <w:pStyle w:val="4"/>
        <w:ind w:firstLine="640"/>
        <w:rPr>
          <w:kern w:val="44"/>
          <w:highlight w:val="none"/>
        </w:rPr>
      </w:pPr>
      <w:r>
        <w:rPr>
          <w:kern w:val="44"/>
          <w:highlight w:val="none"/>
        </w:rPr>
        <w:t>一、</w:t>
      </w:r>
      <w:r>
        <w:rPr>
          <w:rFonts w:hint="eastAsia"/>
          <w:kern w:val="44"/>
          <w:highlight w:val="none"/>
          <w:lang w:eastAsia="zh-CN"/>
        </w:rPr>
        <w:t>单位</w:t>
      </w:r>
      <w:r>
        <w:rPr>
          <w:kern w:val="44"/>
          <w:highlight w:val="none"/>
        </w:rPr>
        <w:t>基本情况</w:t>
      </w:r>
    </w:p>
    <w:p>
      <w:pPr>
        <w:pStyle w:val="5"/>
        <w:ind w:firstLine="643"/>
        <w:rPr>
          <w:highlight w:val="none"/>
        </w:rPr>
      </w:pPr>
      <w:r>
        <w:rPr>
          <w:rFonts w:hint="eastAsia"/>
          <w:highlight w:val="none"/>
        </w:rPr>
        <w:t>（一）职责情况</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岳阳市洞庭湖江豚保护中心，业务归口市农业农村局主管，为正科级公益一类全额拨款事业单位。</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主要职能职责有：</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cs="Times New Roman"/>
          <w:color w:val="000000"/>
          <w:sz w:val="32"/>
          <w:szCs w:val="32"/>
          <w:highlight w:val="none"/>
          <w:lang w:val="en-US" w:eastAsia="zh-CN"/>
        </w:rPr>
        <w:t>（1）</w:t>
      </w:r>
      <w:r>
        <w:rPr>
          <w:rFonts w:hint="eastAsia" w:ascii="Times New Roman" w:hAnsi="Times New Roman" w:eastAsia="仿宋_GB2312" w:cs="Times New Roman"/>
          <w:color w:val="000000"/>
          <w:sz w:val="32"/>
          <w:szCs w:val="32"/>
          <w:highlight w:val="none"/>
          <w:lang w:val="en-US" w:eastAsia="zh-CN"/>
        </w:rPr>
        <w:t>承担水产种质资源保护区（以下简称保护区）内水生生物资源及其生存环境的监测、资源养护和生态修复等工作，并协助有关部门开展保护区的科学研究工作。</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cs="Times New Roman"/>
          <w:color w:val="000000"/>
          <w:sz w:val="32"/>
          <w:szCs w:val="32"/>
          <w:highlight w:val="none"/>
          <w:lang w:val="en-US" w:eastAsia="zh-CN"/>
        </w:rPr>
        <w:t>（2）</w:t>
      </w:r>
      <w:r>
        <w:rPr>
          <w:rFonts w:hint="eastAsia" w:ascii="Times New Roman" w:hAnsi="Times New Roman" w:eastAsia="仿宋_GB2312" w:cs="Times New Roman"/>
          <w:color w:val="000000"/>
          <w:sz w:val="32"/>
          <w:szCs w:val="32"/>
          <w:highlight w:val="none"/>
          <w:lang w:val="en-US" w:eastAsia="zh-CN"/>
        </w:rPr>
        <w:t>承担保护区及长江岳阳段范围内珍贵、濒危水生野生动物保护工作；承担长江江豚的救护和驯养繁殖研究工作。</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cs="Times New Roman"/>
          <w:color w:val="000000"/>
          <w:sz w:val="32"/>
          <w:szCs w:val="32"/>
          <w:highlight w:val="none"/>
          <w:lang w:val="en-US" w:eastAsia="zh-CN"/>
        </w:rPr>
        <w:t>（3）</w:t>
      </w:r>
      <w:r>
        <w:rPr>
          <w:rFonts w:hint="eastAsia" w:ascii="Times New Roman" w:hAnsi="Times New Roman" w:eastAsia="仿宋_GB2312" w:cs="Times New Roman"/>
          <w:color w:val="000000"/>
          <w:sz w:val="32"/>
          <w:szCs w:val="32"/>
          <w:highlight w:val="none"/>
          <w:lang w:val="en-US" w:eastAsia="zh-CN"/>
        </w:rPr>
        <w:t>承担市本级水产种质资源保护、国家级水产种质资源保护区的相关管理工作，以及全市水产种质资源保护区的业务指导工作。</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cs="Times New Roman"/>
          <w:color w:val="000000"/>
          <w:sz w:val="32"/>
          <w:szCs w:val="32"/>
          <w:highlight w:val="none"/>
          <w:lang w:val="en-US" w:eastAsia="zh-CN"/>
        </w:rPr>
        <w:t>（4）</w:t>
      </w:r>
      <w:r>
        <w:rPr>
          <w:rFonts w:hint="eastAsia" w:ascii="Times New Roman" w:hAnsi="Times New Roman" w:eastAsia="仿宋_GB2312" w:cs="Times New Roman"/>
          <w:color w:val="000000"/>
          <w:sz w:val="32"/>
          <w:szCs w:val="32"/>
          <w:highlight w:val="none"/>
          <w:lang w:val="en-US" w:eastAsia="zh-CN"/>
        </w:rPr>
        <w:t>根据授权，承担保护区范围内涉水涉渔工程项目监管及生态补偿资金和生态补偿措施落实的行政辅助工作。</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cs="Times New Roman"/>
          <w:color w:val="000000"/>
          <w:sz w:val="32"/>
          <w:szCs w:val="32"/>
          <w:highlight w:val="none"/>
          <w:lang w:val="en-US" w:eastAsia="zh-CN"/>
        </w:rPr>
        <w:t>（5）</w:t>
      </w:r>
      <w:r>
        <w:rPr>
          <w:rFonts w:hint="eastAsia" w:ascii="Times New Roman" w:hAnsi="Times New Roman" w:eastAsia="仿宋_GB2312" w:cs="Times New Roman"/>
          <w:color w:val="000000"/>
          <w:sz w:val="32"/>
          <w:szCs w:val="32"/>
          <w:highlight w:val="none"/>
          <w:lang w:val="en-US" w:eastAsia="zh-CN"/>
        </w:rPr>
        <w:t>协助查处保护区范围内违反水生野生动物资源管理的各类违法违规行为。</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cs="Times New Roman"/>
          <w:color w:val="000000"/>
          <w:sz w:val="32"/>
          <w:szCs w:val="32"/>
          <w:highlight w:val="none"/>
          <w:lang w:val="en-US" w:eastAsia="zh-CN"/>
        </w:rPr>
        <w:t>（6）</w:t>
      </w:r>
      <w:r>
        <w:rPr>
          <w:rFonts w:hint="eastAsia" w:ascii="Times New Roman" w:hAnsi="Times New Roman" w:eastAsia="仿宋_GB2312" w:cs="Times New Roman"/>
          <w:color w:val="000000"/>
          <w:sz w:val="32"/>
          <w:szCs w:val="32"/>
          <w:highlight w:val="none"/>
          <w:lang w:val="en-US" w:eastAsia="zh-CN"/>
        </w:rPr>
        <w:t>承担保护长江江豚和其他珍贵、濒危水生野生动物及水产种质资源保护区的宣传教育工作。</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cs="Times New Roman"/>
          <w:color w:val="000000"/>
          <w:sz w:val="32"/>
          <w:szCs w:val="32"/>
          <w:highlight w:val="none"/>
          <w:lang w:val="en-US" w:eastAsia="zh-CN"/>
        </w:rPr>
        <w:t>（7）</w:t>
      </w:r>
      <w:r>
        <w:rPr>
          <w:rFonts w:hint="eastAsia" w:ascii="Times New Roman" w:hAnsi="Times New Roman" w:eastAsia="仿宋_GB2312" w:cs="Times New Roman"/>
          <w:color w:val="000000"/>
          <w:sz w:val="32"/>
          <w:szCs w:val="32"/>
          <w:highlight w:val="none"/>
          <w:lang w:val="en-US" w:eastAsia="zh-CN"/>
        </w:rPr>
        <w:t>接受国内外组织和个人的捐赠，用于保护区的建设和管理。</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cs="Times New Roman"/>
          <w:color w:val="000000"/>
          <w:sz w:val="32"/>
          <w:szCs w:val="32"/>
          <w:highlight w:val="none"/>
          <w:lang w:val="en-US" w:eastAsia="zh-CN"/>
        </w:rPr>
        <w:t>（8）</w:t>
      </w:r>
      <w:r>
        <w:rPr>
          <w:rFonts w:hint="eastAsia" w:ascii="Times New Roman" w:hAnsi="Times New Roman" w:eastAsia="仿宋_GB2312" w:cs="Times New Roman"/>
          <w:color w:val="000000"/>
          <w:sz w:val="32"/>
          <w:szCs w:val="32"/>
          <w:highlight w:val="none"/>
          <w:lang w:val="en-US" w:eastAsia="zh-CN"/>
        </w:rPr>
        <w:t>在不影响保护自然保护区的自然环境和自然资源的前提下，协助开展参观、旅游等活动。</w:t>
      </w:r>
    </w:p>
    <w:p>
      <w:pPr>
        <w:pStyle w:val="5"/>
        <w:ind w:firstLine="643"/>
        <w:rPr>
          <w:rFonts w:hint="eastAsia"/>
          <w:highlight w:val="none"/>
        </w:rPr>
      </w:pPr>
      <w:r>
        <w:rPr>
          <w:rFonts w:hint="eastAsia"/>
          <w:highlight w:val="none"/>
        </w:rPr>
        <w:t>（二）机构情况</w:t>
      </w:r>
    </w:p>
    <w:p>
      <w:pPr>
        <w:pStyle w:val="5"/>
        <w:ind w:firstLine="643"/>
        <w:rPr>
          <w:rFonts w:hint="default" w:ascii="Times New Roman" w:hAnsi="Times New Roman" w:eastAsia="仿宋_GB2312" w:cs="Times New Roman"/>
          <w:b w:val="0"/>
          <w:bCs w:val="0"/>
          <w:color w:val="000000"/>
          <w:kern w:val="2"/>
          <w:sz w:val="32"/>
          <w:szCs w:val="32"/>
          <w:highlight w:val="none"/>
          <w:lang w:val="en-US" w:eastAsia="zh-CN" w:bidi="ar-SA"/>
        </w:rPr>
      </w:pPr>
      <w:r>
        <w:rPr>
          <w:rFonts w:hint="eastAsia" w:ascii="Times New Roman" w:hAnsi="Times New Roman" w:eastAsia="仿宋_GB2312" w:cs="Times New Roman"/>
          <w:b w:val="0"/>
          <w:bCs w:val="0"/>
          <w:color w:val="000000"/>
          <w:kern w:val="2"/>
          <w:sz w:val="32"/>
          <w:szCs w:val="32"/>
          <w:highlight w:val="none"/>
          <w:lang w:val="en-US" w:eastAsia="zh-CN" w:bidi="ar-SA"/>
        </w:rPr>
        <w:t>岳阳市洞庭湖江豚保护中心内设2个科室：办公室、观测站。</w:t>
      </w:r>
    </w:p>
    <w:p>
      <w:pPr>
        <w:pStyle w:val="5"/>
        <w:ind w:firstLine="643"/>
        <w:rPr>
          <w:highlight w:val="none"/>
        </w:rPr>
      </w:pPr>
      <w:r>
        <w:rPr>
          <w:rFonts w:hint="eastAsia"/>
          <w:highlight w:val="none"/>
        </w:rPr>
        <w:t>（三）</w:t>
      </w:r>
      <w:r>
        <w:rPr>
          <w:highlight w:val="none"/>
        </w:rPr>
        <w:t>人员情况</w:t>
      </w:r>
    </w:p>
    <w:p>
      <w:pPr>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cs="Times New Roman"/>
          <w:color w:val="000000"/>
          <w:sz w:val="32"/>
          <w:szCs w:val="32"/>
          <w:highlight w:val="none"/>
          <w:lang w:val="en-US" w:eastAsia="zh-CN"/>
        </w:rPr>
        <w:t>岳阳市洞庭湖江豚保护中心</w:t>
      </w:r>
      <w:r>
        <w:rPr>
          <w:rFonts w:hint="eastAsia" w:ascii="Times New Roman" w:hAnsi="Times New Roman" w:eastAsia="仿宋_GB2312" w:cs="Times New Roman"/>
          <w:color w:val="000000"/>
          <w:sz w:val="32"/>
          <w:szCs w:val="32"/>
          <w:highlight w:val="none"/>
          <w:lang w:val="en-US" w:eastAsia="zh-CN"/>
        </w:rPr>
        <w:t>核定全额拨款事业编制9人，2022年末实</w:t>
      </w:r>
      <w:r>
        <w:rPr>
          <w:rFonts w:hint="eastAsia" w:ascii="Times New Roman" w:hAnsi="Times New Roman" w:cs="Times New Roman"/>
          <w:color w:val="000000"/>
          <w:sz w:val="32"/>
          <w:szCs w:val="32"/>
          <w:highlight w:val="none"/>
          <w:lang w:val="en-US" w:eastAsia="zh-CN"/>
        </w:rPr>
        <w:t>有</w:t>
      </w:r>
      <w:r>
        <w:rPr>
          <w:rFonts w:hint="eastAsia" w:ascii="Times New Roman" w:hAnsi="Times New Roman" w:eastAsia="仿宋_GB2312" w:cs="Times New Roman"/>
          <w:color w:val="000000"/>
          <w:sz w:val="32"/>
          <w:szCs w:val="32"/>
          <w:highlight w:val="none"/>
          <w:lang w:val="en-US" w:eastAsia="zh-CN"/>
        </w:rPr>
        <w:t>在</w:t>
      </w:r>
      <w:r>
        <w:rPr>
          <w:rFonts w:hint="eastAsia" w:ascii="Times New Roman" w:hAnsi="Times New Roman" w:cs="Times New Roman"/>
          <w:color w:val="000000"/>
          <w:sz w:val="32"/>
          <w:szCs w:val="32"/>
          <w:highlight w:val="none"/>
          <w:lang w:val="en-US" w:eastAsia="zh-CN"/>
        </w:rPr>
        <w:t>职</w:t>
      </w:r>
      <w:r>
        <w:rPr>
          <w:rFonts w:hint="eastAsia" w:ascii="Times New Roman" w:hAnsi="Times New Roman" w:eastAsia="仿宋_GB2312" w:cs="Times New Roman"/>
          <w:color w:val="000000"/>
          <w:sz w:val="32"/>
          <w:szCs w:val="32"/>
          <w:highlight w:val="none"/>
          <w:lang w:val="en-US" w:eastAsia="zh-CN"/>
        </w:rPr>
        <w:t>人数8人</w:t>
      </w:r>
      <w:r>
        <w:rPr>
          <w:rFonts w:hint="eastAsia" w:ascii="Times New Roman" w:hAnsi="Times New Roman" w:cs="Times New Roman"/>
          <w:color w:val="000000"/>
          <w:sz w:val="32"/>
          <w:szCs w:val="32"/>
          <w:highlight w:val="none"/>
          <w:lang w:val="en-US" w:eastAsia="zh-CN"/>
        </w:rPr>
        <w:t>，无离退休人员</w:t>
      </w:r>
      <w:r>
        <w:rPr>
          <w:rFonts w:hint="eastAsia" w:ascii="Times New Roman" w:hAnsi="Times New Roman" w:eastAsia="仿宋_GB2312" w:cs="Times New Roman"/>
          <w:color w:val="000000"/>
          <w:sz w:val="32"/>
          <w:szCs w:val="32"/>
          <w:highlight w:val="none"/>
          <w:lang w:val="en-US" w:eastAsia="zh-CN"/>
        </w:rPr>
        <w:t>。</w:t>
      </w:r>
    </w:p>
    <w:p>
      <w:pPr>
        <w:pStyle w:val="4"/>
        <w:ind w:firstLine="640"/>
        <w:rPr>
          <w:kern w:val="44"/>
          <w:highlight w:val="none"/>
        </w:rPr>
      </w:pPr>
      <w:r>
        <w:rPr>
          <w:rFonts w:hint="eastAsia"/>
          <w:kern w:val="44"/>
          <w:highlight w:val="none"/>
        </w:rPr>
        <w:t>二</w:t>
      </w:r>
      <w:r>
        <w:rPr>
          <w:kern w:val="44"/>
          <w:highlight w:val="none"/>
        </w:rPr>
        <w:t>、一般公共预算支出情况</w:t>
      </w:r>
    </w:p>
    <w:p>
      <w:pPr>
        <w:pStyle w:val="5"/>
        <w:ind w:firstLine="643"/>
        <w:rPr>
          <w:highlight w:val="none"/>
        </w:rPr>
      </w:pPr>
      <w:r>
        <w:rPr>
          <w:rFonts w:hint="eastAsia"/>
          <w:highlight w:val="none"/>
        </w:rPr>
        <w:t>（一）</w:t>
      </w:r>
      <w:r>
        <w:rPr>
          <w:highlight w:val="none"/>
        </w:rPr>
        <w:t>基本支出</w:t>
      </w:r>
      <w:r>
        <w:rPr>
          <w:rFonts w:hint="eastAsia"/>
          <w:highlight w:val="none"/>
        </w:rPr>
        <w:t>情况</w:t>
      </w:r>
    </w:p>
    <w:p>
      <w:pPr>
        <w:ind w:firstLine="640"/>
        <w:rPr>
          <w:highlight w:val="none"/>
        </w:rPr>
      </w:pPr>
      <w:r>
        <w:rPr>
          <w:highlight w:val="none"/>
        </w:rPr>
        <w:t>202</w:t>
      </w:r>
      <w:r>
        <w:rPr>
          <w:rFonts w:hint="eastAsia"/>
          <w:highlight w:val="none"/>
          <w:lang w:val="en-US" w:eastAsia="zh-CN"/>
        </w:rPr>
        <w:t>2</w:t>
      </w:r>
      <w:r>
        <w:rPr>
          <w:highlight w:val="none"/>
        </w:rPr>
        <w:t>年基本支出</w:t>
      </w:r>
      <w:r>
        <w:rPr>
          <w:rFonts w:hint="eastAsia"/>
          <w:highlight w:val="none"/>
          <w:lang w:eastAsia="zh-CN"/>
        </w:rPr>
        <w:t>本年收入</w:t>
      </w:r>
      <w:r>
        <w:rPr>
          <w:highlight w:val="none"/>
        </w:rPr>
        <w:t>为</w:t>
      </w:r>
      <w:r>
        <w:rPr>
          <w:rFonts w:hint="eastAsia"/>
          <w:highlight w:val="none"/>
          <w:lang w:val="en-US" w:eastAsia="zh-CN"/>
        </w:rPr>
        <w:t>98.16</w:t>
      </w:r>
      <w:r>
        <w:rPr>
          <w:highlight w:val="none"/>
        </w:rPr>
        <w:t>万元</w:t>
      </w:r>
      <w:r>
        <w:rPr>
          <w:rFonts w:hint="eastAsia"/>
          <w:highlight w:val="none"/>
          <w:lang w:eastAsia="zh-CN"/>
        </w:rPr>
        <w:t>，上年结转结余</w:t>
      </w:r>
      <w:r>
        <w:rPr>
          <w:rFonts w:hint="eastAsia"/>
          <w:highlight w:val="none"/>
          <w:lang w:val="en-US" w:eastAsia="zh-CN"/>
        </w:rPr>
        <w:t>0万元，基本支出决算金额为98.16万元</w:t>
      </w:r>
      <w:r>
        <w:rPr>
          <w:rFonts w:hint="eastAsia"/>
          <w:highlight w:val="none"/>
        </w:rPr>
        <w:t>（含人员经费</w:t>
      </w:r>
      <w:r>
        <w:rPr>
          <w:rFonts w:hint="eastAsia"/>
          <w:highlight w:val="none"/>
          <w:lang w:val="en-US" w:eastAsia="zh-CN"/>
        </w:rPr>
        <w:t>91.20</w:t>
      </w:r>
      <w:r>
        <w:rPr>
          <w:rFonts w:hint="eastAsia"/>
          <w:highlight w:val="none"/>
        </w:rPr>
        <w:t>万元，公用经费</w:t>
      </w:r>
      <w:r>
        <w:rPr>
          <w:rFonts w:hint="eastAsia"/>
          <w:highlight w:val="none"/>
          <w:lang w:val="en-US" w:eastAsia="zh-CN"/>
        </w:rPr>
        <w:t>6.96</w:t>
      </w:r>
      <w:r>
        <w:rPr>
          <w:rFonts w:hint="eastAsia"/>
          <w:highlight w:val="none"/>
        </w:rPr>
        <w:t>万元）</w:t>
      </w:r>
      <w:r>
        <w:rPr>
          <w:highlight w:val="none"/>
        </w:rPr>
        <w:t>，其中</w:t>
      </w:r>
      <w:r>
        <w:rPr>
          <w:rFonts w:hint="eastAsia"/>
          <w:highlight w:val="none"/>
        </w:rPr>
        <w:t>：</w:t>
      </w:r>
      <w:r>
        <w:rPr>
          <w:highlight w:val="none"/>
        </w:rPr>
        <w:t>工资福利支出</w:t>
      </w:r>
      <w:r>
        <w:rPr>
          <w:rFonts w:hint="eastAsia"/>
          <w:highlight w:val="none"/>
          <w:lang w:val="en-US" w:eastAsia="zh-CN"/>
        </w:rPr>
        <w:t>91.20</w:t>
      </w:r>
      <w:r>
        <w:rPr>
          <w:highlight w:val="none"/>
        </w:rPr>
        <w:t>万元，商品和服务支出</w:t>
      </w:r>
      <w:r>
        <w:rPr>
          <w:rFonts w:hint="eastAsia"/>
          <w:highlight w:val="none"/>
          <w:lang w:val="en-US" w:eastAsia="zh-CN"/>
        </w:rPr>
        <w:t>6.96</w:t>
      </w:r>
      <w:r>
        <w:rPr>
          <w:highlight w:val="none"/>
        </w:rPr>
        <w:t>万元</w:t>
      </w:r>
      <w:r>
        <w:rPr>
          <w:rFonts w:hint="eastAsia"/>
          <w:highlight w:val="none"/>
          <w:lang w:eastAsia="zh-CN"/>
        </w:rPr>
        <w:t>，年末结转结余</w:t>
      </w:r>
      <w:r>
        <w:rPr>
          <w:rFonts w:hint="eastAsia"/>
          <w:highlight w:val="none"/>
          <w:lang w:val="en-US" w:eastAsia="zh-CN"/>
        </w:rPr>
        <w:t>0万元</w:t>
      </w:r>
      <w:r>
        <w:rPr>
          <w:highlight w:val="none"/>
        </w:rPr>
        <w:t>。</w:t>
      </w:r>
    </w:p>
    <w:p>
      <w:pPr>
        <w:pStyle w:val="5"/>
        <w:ind w:firstLine="643"/>
        <w:rPr>
          <w:rFonts w:hint="eastAsia"/>
          <w:kern w:val="0"/>
          <w:highlight w:val="none"/>
        </w:rPr>
      </w:pPr>
      <w:r>
        <w:rPr>
          <w:kern w:val="0"/>
          <w:highlight w:val="none"/>
        </w:rPr>
        <w:t>（二）项目支出</w:t>
      </w:r>
      <w:r>
        <w:rPr>
          <w:rFonts w:hint="eastAsia"/>
          <w:kern w:val="0"/>
          <w:highlight w:val="none"/>
        </w:rPr>
        <w:t>情况</w:t>
      </w:r>
    </w:p>
    <w:p>
      <w:pPr>
        <w:ind w:firstLine="632"/>
        <w:rPr>
          <w:rFonts w:hint="eastAsia"/>
          <w:spacing w:val="-2"/>
          <w:highlight w:val="none"/>
        </w:rPr>
      </w:pPr>
      <w:r>
        <w:rPr>
          <w:spacing w:val="-2"/>
          <w:highlight w:val="none"/>
        </w:rPr>
        <w:t>202</w:t>
      </w:r>
      <w:r>
        <w:rPr>
          <w:rFonts w:hint="eastAsia"/>
          <w:spacing w:val="-2"/>
          <w:highlight w:val="none"/>
          <w:lang w:val="en-US" w:eastAsia="zh-CN"/>
        </w:rPr>
        <w:t>2</w:t>
      </w:r>
      <w:r>
        <w:rPr>
          <w:spacing w:val="-2"/>
          <w:highlight w:val="none"/>
        </w:rPr>
        <w:t>年</w:t>
      </w:r>
      <w:r>
        <w:rPr>
          <w:rFonts w:hint="eastAsia"/>
          <w:spacing w:val="-2"/>
          <w:highlight w:val="none"/>
        </w:rPr>
        <w:t>项目</w:t>
      </w:r>
      <w:r>
        <w:rPr>
          <w:spacing w:val="-2"/>
          <w:highlight w:val="none"/>
        </w:rPr>
        <w:t>支</w:t>
      </w:r>
      <w:r>
        <w:rPr>
          <w:rFonts w:hint="eastAsia"/>
          <w:spacing w:val="-2"/>
          <w:highlight w:val="none"/>
        </w:rPr>
        <w:t>出</w:t>
      </w:r>
      <w:r>
        <w:rPr>
          <w:rFonts w:hint="eastAsia"/>
          <w:spacing w:val="-2"/>
          <w:highlight w:val="none"/>
          <w:lang w:eastAsia="zh-CN"/>
        </w:rPr>
        <w:t>本年收入</w:t>
      </w:r>
      <w:r>
        <w:rPr>
          <w:spacing w:val="-2"/>
          <w:highlight w:val="none"/>
        </w:rPr>
        <w:t>为</w:t>
      </w:r>
      <w:r>
        <w:rPr>
          <w:rFonts w:hint="eastAsia"/>
          <w:spacing w:val="-2"/>
          <w:highlight w:val="none"/>
          <w:lang w:val="en-US" w:eastAsia="zh-CN"/>
        </w:rPr>
        <w:t>194</w:t>
      </w:r>
      <w:r>
        <w:rPr>
          <w:spacing w:val="-2"/>
          <w:highlight w:val="none"/>
        </w:rPr>
        <w:t>万元</w:t>
      </w:r>
      <w:r>
        <w:rPr>
          <w:rFonts w:hint="eastAsia"/>
          <w:spacing w:val="-2"/>
          <w:highlight w:val="none"/>
          <w:lang w:eastAsia="zh-CN"/>
        </w:rPr>
        <w:t>，年初结转结余</w:t>
      </w:r>
      <w:r>
        <w:rPr>
          <w:rFonts w:hint="eastAsia"/>
          <w:spacing w:val="-2"/>
          <w:highlight w:val="none"/>
          <w:lang w:val="en-US" w:eastAsia="zh-CN"/>
        </w:rPr>
        <w:t>8.32万元，全年收入为202.32万元。本年项目支出数为177.86万元，</w:t>
      </w:r>
      <w:r>
        <w:rPr>
          <w:spacing w:val="-2"/>
          <w:highlight w:val="none"/>
        </w:rPr>
        <w:t>其中工资福利支出</w:t>
      </w:r>
      <w:r>
        <w:rPr>
          <w:rFonts w:hint="eastAsia"/>
          <w:spacing w:val="-2"/>
          <w:highlight w:val="none"/>
          <w:lang w:val="en-US" w:eastAsia="zh-CN"/>
        </w:rPr>
        <w:t>10.34</w:t>
      </w:r>
      <w:r>
        <w:rPr>
          <w:spacing w:val="-2"/>
          <w:highlight w:val="none"/>
        </w:rPr>
        <w:t>万元，商品和服务支出</w:t>
      </w:r>
      <w:r>
        <w:rPr>
          <w:rFonts w:hint="eastAsia"/>
          <w:spacing w:val="-2"/>
          <w:highlight w:val="none"/>
          <w:lang w:val="en-US" w:eastAsia="zh-CN"/>
        </w:rPr>
        <w:t>160.08</w:t>
      </w:r>
      <w:r>
        <w:rPr>
          <w:spacing w:val="-2"/>
          <w:highlight w:val="none"/>
        </w:rPr>
        <w:t>万元，资本性支出</w:t>
      </w:r>
      <w:r>
        <w:rPr>
          <w:rFonts w:hint="eastAsia"/>
          <w:spacing w:val="-2"/>
          <w:highlight w:val="none"/>
          <w:lang w:val="en-US" w:eastAsia="zh-CN"/>
        </w:rPr>
        <w:t>7.44</w:t>
      </w:r>
      <w:r>
        <w:rPr>
          <w:rFonts w:hint="eastAsia"/>
          <w:spacing w:val="-2"/>
          <w:highlight w:val="none"/>
        </w:rPr>
        <w:t>万</w:t>
      </w:r>
      <w:r>
        <w:rPr>
          <w:spacing w:val="-2"/>
          <w:highlight w:val="none"/>
        </w:rPr>
        <w:t>元。</w:t>
      </w:r>
      <w:r>
        <w:rPr>
          <w:rFonts w:hint="eastAsia"/>
          <w:spacing w:val="-2"/>
          <w:highlight w:val="none"/>
        </w:rPr>
        <w:t>项目支出按支出功能分类明细如下：</w:t>
      </w:r>
    </w:p>
    <w:p>
      <w:pPr>
        <w:spacing w:line="596" w:lineRule="atLeast"/>
        <w:ind w:firstLine="640" w:firstLineChars="0"/>
        <w:jc w:val="right"/>
        <w:textAlignment w:val="center"/>
        <w:rPr>
          <w:rFonts w:hint="eastAsia"/>
          <w:sz w:val="24"/>
          <w:highlight w:val="none"/>
        </w:rPr>
      </w:pPr>
      <w:r>
        <w:rPr>
          <w:rFonts w:hint="eastAsia"/>
          <w:sz w:val="24"/>
          <w:highlight w:val="none"/>
        </w:rPr>
        <w:t>单位：万元</w:t>
      </w:r>
    </w:p>
    <w:tbl>
      <w:tblPr>
        <w:tblStyle w:val="37"/>
        <w:tblW w:w="0" w:type="auto"/>
        <w:jc w:val="center"/>
        <w:tblLayout w:type="fixed"/>
        <w:tblCellMar>
          <w:top w:w="0" w:type="dxa"/>
          <w:left w:w="108" w:type="dxa"/>
          <w:bottom w:w="0" w:type="dxa"/>
          <w:right w:w="108" w:type="dxa"/>
        </w:tblCellMar>
      </w:tblPr>
      <w:tblGrid>
        <w:gridCol w:w="835"/>
        <w:gridCol w:w="1343"/>
        <w:gridCol w:w="2569"/>
        <w:gridCol w:w="1454"/>
        <w:gridCol w:w="1384"/>
        <w:gridCol w:w="1384"/>
      </w:tblGrid>
      <w:tr>
        <w:tblPrEx>
          <w:tblCellMar>
            <w:top w:w="0" w:type="dxa"/>
            <w:left w:w="108" w:type="dxa"/>
            <w:bottom w:w="0" w:type="dxa"/>
            <w:right w:w="108" w:type="dxa"/>
          </w:tblCellMar>
        </w:tblPrEx>
        <w:trPr>
          <w:trHeight w:val="454" w:hRule="atLeast"/>
          <w:tblHeader/>
          <w:jc w:val="center"/>
        </w:trPr>
        <w:tc>
          <w:tcPr>
            <w:tcW w:w="835"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eastAsia="仿宋"/>
                <w:color w:val="000000"/>
                <w:kern w:val="0"/>
                <w:sz w:val="18"/>
                <w:szCs w:val="18"/>
                <w:highlight w:val="none"/>
                <w:vertAlign w:val="baseline"/>
                <w:lang w:bidi="ar"/>
              </w:rPr>
            </w:pPr>
            <w:r>
              <w:rPr>
                <w:rFonts w:eastAsia="仿宋"/>
                <w:color w:val="000000"/>
                <w:kern w:val="0"/>
                <w:sz w:val="18"/>
                <w:szCs w:val="18"/>
                <w:highlight w:val="none"/>
                <w:vertAlign w:val="baseline"/>
                <w:lang w:bidi="ar"/>
              </w:rPr>
              <w:t>序号</w:t>
            </w:r>
          </w:p>
        </w:tc>
        <w:tc>
          <w:tcPr>
            <w:tcW w:w="1343"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eastAsia="仿宋"/>
                <w:color w:val="000000"/>
                <w:sz w:val="18"/>
                <w:szCs w:val="18"/>
                <w:highlight w:val="none"/>
                <w:vertAlign w:val="baseline"/>
              </w:rPr>
            </w:pPr>
            <w:r>
              <w:rPr>
                <w:rFonts w:eastAsia="仿宋"/>
                <w:color w:val="000000"/>
                <w:kern w:val="0"/>
                <w:sz w:val="18"/>
                <w:szCs w:val="18"/>
                <w:highlight w:val="none"/>
                <w:vertAlign w:val="baseline"/>
                <w:lang w:bidi="ar"/>
              </w:rPr>
              <w:t>科目编码</w:t>
            </w:r>
          </w:p>
        </w:tc>
        <w:tc>
          <w:tcPr>
            <w:tcW w:w="2569"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eastAsia="仿宋"/>
                <w:color w:val="000000"/>
                <w:sz w:val="18"/>
                <w:szCs w:val="18"/>
                <w:highlight w:val="none"/>
                <w:vertAlign w:val="baseline"/>
              </w:rPr>
            </w:pPr>
            <w:r>
              <w:rPr>
                <w:rFonts w:eastAsia="仿宋"/>
                <w:color w:val="000000"/>
                <w:kern w:val="0"/>
                <w:sz w:val="18"/>
                <w:szCs w:val="18"/>
                <w:highlight w:val="none"/>
                <w:vertAlign w:val="baseline"/>
                <w:lang w:bidi="ar"/>
              </w:rPr>
              <w:t>类别</w:t>
            </w:r>
          </w:p>
        </w:tc>
        <w:tc>
          <w:tcPr>
            <w:tcW w:w="145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eastAsia="仿宋"/>
                <w:color w:val="000000"/>
                <w:sz w:val="18"/>
                <w:szCs w:val="18"/>
                <w:highlight w:val="none"/>
                <w:vertAlign w:val="baseline"/>
              </w:rPr>
            </w:pPr>
            <w:r>
              <w:rPr>
                <w:rFonts w:eastAsia="仿宋"/>
                <w:color w:val="000000"/>
                <w:kern w:val="0"/>
                <w:sz w:val="18"/>
                <w:szCs w:val="18"/>
                <w:highlight w:val="none"/>
                <w:vertAlign w:val="baseline"/>
                <w:lang w:bidi="ar"/>
              </w:rPr>
              <w:t>预算数</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eastAsia="仿宋"/>
                <w:color w:val="000000"/>
                <w:sz w:val="18"/>
                <w:szCs w:val="18"/>
                <w:highlight w:val="none"/>
                <w:vertAlign w:val="baseline"/>
              </w:rPr>
            </w:pPr>
            <w:r>
              <w:rPr>
                <w:rFonts w:eastAsia="仿宋"/>
                <w:color w:val="000000"/>
                <w:kern w:val="0"/>
                <w:sz w:val="18"/>
                <w:szCs w:val="18"/>
                <w:highlight w:val="none"/>
                <w:vertAlign w:val="baseline"/>
                <w:lang w:bidi="ar"/>
              </w:rPr>
              <w:t>决算表</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eastAsia="仿宋"/>
                <w:color w:val="000000"/>
                <w:sz w:val="18"/>
                <w:szCs w:val="18"/>
                <w:highlight w:val="none"/>
                <w:vertAlign w:val="baseline"/>
              </w:rPr>
            </w:pPr>
            <w:r>
              <w:rPr>
                <w:rFonts w:eastAsia="仿宋"/>
                <w:color w:val="000000"/>
                <w:kern w:val="0"/>
                <w:sz w:val="18"/>
                <w:szCs w:val="18"/>
                <w:highlight w:val="none"/>
                <w:vertAlign w:val="baseline"/>
                <w:lang w:bidi="ar"/>
              </w:rPr>
              <w:t>结余数</w:t>
            </w:r>
          </w:p>
        </w:tc>
      </w:tr>
      <w:tr>
        <w:tblPrEx>
          <w:tblCellMar>
            <w:top w:w="0" w:type="dxa"/>
            <w:left w:w="108" w:type="dxa"/>
            <w:bottom w:w="0" w:type="dxa"/>
            <w:right w:w="108" w:type="dxa"/>
          </w:tblCellMar>
        </w:tblPrEx>
        <w:trPr>
          <w:trHeight w:val="454" w:hRule="atLeast"/>
          <w:tblHeader/>
          <w:jc w:val="center"/>
        </w:trPr>
        <w:tc>
          <w:tcPr>
            <w:tcW w:w="835"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hint="eastAsia"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1</w:t>
            </w:r>
          </w:p>
        </w:tc>
        <w:tc>
          <w:tcPr>
            <w:tcW w:w="1343"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hint="default" w:ascii="Times New Roman" w:hAnsi="Times New Roman" w:eastAsia="仿宋" w:cs="Times New Roman"/>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2110199</w:t>
            </w:r>
          </w:p>
        </w:tc>
        <w:tc>
          <w:tcPr>
            <w:tcW w:w="2569"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both"/>
              <w:textAlignment w:val="center"/>
              <w:rPr>
                <w:rFonts w:hint="eastAsia" w:ascii="Times New Roman" w:hAnsi="Times New Roman" w:eastAsia="仿宋" w:cs="Times New Roman"/>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eastAsia="zh-CN" w:bidi="ar"/>
              </w:rPr>
              <w:t>其他环境保护管理事务支出</w:t>
            </w:r>
          </w:p>
        </w:tc>
        <w:tc>
          <w:tcPr>
            <w:tcW w:w="145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0.75</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0.75</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0.00</w:t>
            </w:r>
          </w:p>
        </w:tc>
      </w:tr>
      <w:tr>
        <w:tblPrEx>
          <w:tblCellMar>
            <w:top w:w="0" w:type="dxa"/>
            <w:left w:w="108" w:type="dxa"/>
            <w:bottom w:w="0" w:type="dxa"/>
            <w:right w:w="108" w:type="dxa"/>
          </w:tblCellMar>
        </w:tblPrEx>
        <w:trPr>
          <w:trHeight w:val="454" w:hRule="atLeast"/>
          <w:tblHeader/>
          <w:jc w:val="center"/>
        </w:trPr>
        <w:tc>
          <w:tcPr>
            <w:tcW w:w="835"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hint="eastAsia"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2</w:t>
            </w:r>
          </w:p>
        </w:tc>
        <w:tc>
          <w:tcPr>
            <w:tcW w:w="1343"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2119999</w:t>
            </w:r>
          </w:p>
        </w:tc>
        <w:tc>
          <w:tcPr>
            <w:tcW w:w="2569"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left"/>
              <w:textAlignment w:val="center"/>
              <w:rPr>
                <w:rFonts w:hint="eastAsia" w:eastAsia="仿宋"/>
                <w:color w:val="000000"/>
                <w:kern w:val="0"/>
                <w:sz w:val="18"/>
                <w:szCs w:val="18"/>
                <w:highlight w:val="none"/>
                <w:vertAlign w:val="baseline"/>
                <w:lang w:eastAsia="zh-CN" w:bidi="ar"/>
              </w:rPr>
            </w:pPr>
            <w:r>
              <w:rPr>
                <w:rFonts w:hint="eastAsia" w:eastAsia="仿宋"/>
                <w:color w:val="000000"/>
                <w:kern w:val="0"/>
                <w:sz w:val="18"/>
                <w:szCs w:val="18"/>
                <w:highlight w:val="none"/>
                <w:vertAlign w:val="baseline"/>
                <w:lang w:eastAsia="zh-CN" w:bidi="ar"/>
              </w:rPr>
              <w:t>其他节能环保吃出</w:t>
            </w:r>
          </w:p>
        </w:tc>
        <w:tc>
          <w:tcPr>
            <w:tcW w:w="145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20.00</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17.85</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2.15</w:t>
            </w:r>
          </w:p>
        </w:tc>
      </w:tr>
      <w:tr>
        <w:tblPrEx>
          <w:tblCellMar>
            <w:top w:w="0" w:type="dxa"/>
            <w:left w:w="108" w:type="dxa"/>
            <w:bottom w:w="0" w:type="dxa"/>
            <w:right w:w="108" w:type="dxa"/>
          </w:tblCellMar>
        </w:tblPrEx>
        <w:trPr>
          <w:trHeight w:val="454" w:hRule="atLeast"/>
          <w:tblHeader/>
          <w:jc w:val="center"/>
        </w:trPr>
        <w:tc>
          <w:tcPr>
            <w:tcW w:w="835"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hint="eastAsia"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3</w:t>
            </w:r>
          </w:p>
        </w:tc>
        <w:tc>
          <w:tcPr>
            <w:tcW w:w="1343"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left="0" w:leftChars="0" w:firstLine="0" w:firstLineChars="0"/>
              <w:jc w:val="center"/>
              <w:textAlignment w:val="center"/>
              <w:rPr>
                <w:rFonts w:ascii="Times New Roman" w:hAnsi="Times New Roman" w:eastAsia="宋体" w:cs="Times New Roman"/>
                <w:color w:val="000000"/>
                <w:kern w:val="2"/>
                <w:sz w:val="18"/>
                <w:szCs w:val="18"/>
                <w:highlight w:val="none"/>
                <w:vertAlign w:val="baseline"/>
                <w:lang w:val="en-US" w:eastAsia="zh-CN" w:bidi="ar-SA"/>
              </w:rPr>
            </w:pPr>
            <w:r>
              <w:rPr>
                <w:rFonts w:eastAsia="宋体"/>
                <w:color w:val="000000"/>
                <w:kern w:val="0"/>
                <w:sz w:val="18"/>
                <w:szCs w:val="18"/>
                <w:highlight w:val="none"/>
                <w:vertAlign w:val="baseline"/>
                <w:lang w:bidi="ar"/>
              </w:rPr>
              <w:t>2130135</w:t>
            </w:r>
          </w:p>
        </w:tc>
        <w:tc>
          <w:tcPr>
            <w:tcW w:w="2569"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left="0" w:leftChars="0" w:firstLine="0" w:firstLineChars="0"/>
              <w:jc w:val="left"/>
              <w:textAlignment w:val="center"/>
              <w:rPr>
                <w:rFonts w:ascii="Times New Roman" w:hAnsi="Times New Roman" w:eastAsia="仿宋" w:cs="Times New Roman"/>
                <w:color w:val="000000"/>
                <w:kern w:val="2"/>
                <w:sz w:val="18"/>
                <w:szCs w:val="18"/>
                <w:highlight w:val="none"/>
                <w:vertAlign w:val="baseline"/>
                <w:lang w:val="en-US" w:eastAsia="zh-CN" w:bidi="ar-SA"/>
              </w:rPr>
            </w:pPr>
            <w:r>
              <w:rPr>
                <w:rFonts w:eastAsia="仿宋"/>
                <w:color w:val="000000"/>
                <w:kern w:val="0"/>
                <w:sz w:val="18"/>
                <w:szCs w:val="18"/>
                <w:highlight w:val="none"/>
                <w:vertAlign w:val="baseline"/>
                <w:lang w:bidi="ar"/>
              </w:rPr>
              <w:t>农业资源保护修复与利用</w:t>
            </w:r>
          </w:p>
        </w:tc>
        <w:tc>
          <w:tcPr>
            <w:tcW w:w="145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55.00</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36.52</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18.48</w:t>
            </w:r>
          </w:p>
        </w:tc>
      </w:tr>
      <w:tr>
        <w:tblPrEx>
          <w:tblCellMar>
            <w:top w:w="0" w:type="dxa"/>
            <w:left w:w="108" w:type="dxa"/>
            <w:bottom w:w="0" w:type="dxa"/>
            <w:right w:w="108" w:type="dxa"/>
          </w:tblCellMar>
        </w:tblPrEx>
        <w:trPr>
          <w:trHeight w:val="454" w:hRule="atLeast"/>
          <w:tblHeader/>
          <w:jc w:val="center"/>
        </w:trPr>
        <w:tc>
          <w:tcPr>
            <w:tcW w:w="835"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hint="eastAsia" w:ascii="Times New Roman" w:hAnsi="Times New Roman" w:eastAsia="仿宋" w:cs="Times New Roman"/>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4</w:t>
            </w:r>
          </w:p>
        </w:tc>
        <w:tc>
          <w:tcPr>
            <w:tcW w:w="1343"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2130199</w:t>
            </w:r>
          </w:p>
        </w:tc>
        <w:tc>
          <w:tcPr>
            <w:tcW w:w="2569"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both"/>
              <w:textAlignment w:val="center"/>
              <w:rPr>
                <w:rFonts w:hint="eastAsia" w:eastAsia="仿宋"/>
                <w:color w:val="000000"/>
                <w:kern w:val="0"/>
                <w:sz w:val="18"/>
                <w:szCs w:val="18"/>
                <w:highlight w:val="none"/>
                <w:vertAlign w:val="baseline"/>
                <w:lang w:eastAsia="zh-CN" w:bidi="ar"/>
              </w:rPr>
            </w:pPr>
            <w:r>
              <w:rPr>
                <w:rFonts w:hint="eastAsia" w:eastAsia="仿宋"/>
                <w:color w:val="000000"/>
                <w:kern w:val="0"/>
                <w:sz w:val="18"/>
                <w:szCs w:val="18"/>
                <w:highlight w:val="none"/>
                <w:vertAlign w:val="baseline"/>
                <w:lang w:eastAsia="zh-CN" w:bidi="ar"/>
              </w:rPr>
              <w:t>其他农业农村支出</w:t>
            </w:r>
          </w:p>
        </w:tc>
        <w:tc>
          <w:tcPr>
            <w:tcW w:w="145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119.00</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115.17</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3.83</w:t>
            </w:r>
          </w:p>
        </w:tc>
      </w:tr>
      <w:tr>
        <w:tblPrEx>
          <w:tblCellMar>
            <w:top w:w="0" w:type="dxa"/>
            <w:left w:w="108" w:type="dxa"/>
            <w:bottom w:w="0" w:type="dxa"/>
            <w:right w:w="108" w:type="dxa"/>
          </w:tblCellMar>
        </w:tblPrEx>
        <w:trPr>
          <w:trHeight w:val="454" w:hRule="atLeast"/>
          <w:tblHeader/>
          <w:jc w:val="center"/>
        </w:trPr>
        <w:tc>
          <w:tcPr>
            <w:tcW w:w="835"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hint="eastAsia"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5</w:t>
            </w:r>
          </w:p>
        </w:tc>
        <w:tc>
          <w:tcPr>
            <w:tcW w:w="1343"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center"/>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2149999</w:t>
            </w:r>
          </w:p>
        </w:tc>
        <w:tc>
          <w:tcPr>
            <w:tcW w:w="2569"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both"/>
              <w:textAlignment w:val="center"/>
              <w:rPr>
                <w:rFonts w:hint="eastAsia" w:eastAsia="仿宋"/>
                <w:color w:val="000000"/>
                <w:kern w:val="0"/>
                <w:sz w:val="18"/>
                <w:szCs w:val="18"/>
                <w:highlight w:val="none"/>
                <w:vertAlign w:val="baseline"/>
                <w:lang w:eastAsia="zh-CN" w:bidi="ar"/>
              </w:rPr>
            </w:pPr>
            <w:r>
              <w:rPr>
                <w:rFonts w:hint="eastAsia" w:eastAsia="仿宋"/>
                <w:color w:val="000000"/>
                <w:kern w:val="0"/>
                <w:sz w:val="18"/>
                <w:szCs w:val="18"/>
                <w:highlight w:val="none"/>
                <w:vertAlign w:val="baseline"/>
                <w:lang w:eastAsia="zh-CN" w:bidi="ar"/>
              </w:rPr>
              <w:t>其他交通运输支出</w:t>
            </w:r>
          </w:p>
        </w:tc>
        <w:tc>
          <w:tcPr>
            <w:tcW w:w="145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7.57</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7.57</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0" w:firstLineChars="0"/>
              <w:jc w:val="right"/>
              <w:textAlignment w:val="center"/>
              <w:rPr>
                <w:rFonts w:hint="default" w:eastAsia="仿宋"/>
                <w:color w:val="000000"/>
                <w:kern w:val="0"/>
                <w:sz w:val="18"/>
                <w:szCs w:val="18"/>
                <w:highlight w:val="none"/>
                <w:vertAlign w:val="baseline"/>
                <w:lang w:val="en-US" w:eastAsia="zh-CN" w:bidi="ar"/>
              </w:rPr>
            </w:pPr>
            <w:r>
              <w:rPr>
                <w:rFonts w:hint="eastAsia" w:eastAsia="仿宋"/>
                <w:color w:val="000000"/>
                <w:kern w:val="0"/>
                <w:sz w:val="18"/>
                <w:szCs w:val="18"/>
                <w:highlight w:val="none"/>
                <w:vertAlign w:val="baseline"/>
                <w:lang w:val="en-US" w:eastAsia="zh-CN" w:bidi="ar"/>
              </w:rPr>
              <w:t>0.00</w:t>
            </w:r>
          </w:p>
        </w:tc>
      </w:tr>
      <w:tr>
        <w:tblPrEx>
          <w:tblCellMar>
            <w:top w:w="0" w:type="dxa"/>
            <w:left w:w="108" w:type="dxa"/>
            <w:bottom w:w="0" w:type="dxa"/>
            <w:right w:w="108" w:type="dxa"/>
          </w:tblCellMar>
        </w:tblPrEx>
        <w:trPr>
          <w:trHeight w:val="454" w:hRule="atLeast"/>
          <w:jc w:val="center"/>
        </w:trPr>
        <w:tc>
          <w:tcPr>
            <w:tcW w:w="835"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320"/>
              <w:jc w:val="center"/>
              <w:textAlignment w:val="center"/>
              <w:rPr>
                <w:rFonts w:eastAsia="仿宋"/>
                <w:color w:val="000000"/>
                <w:kern w:val="0"/>
                <w:sz w:val="18"/>
                <w:szCs w:val="18"/>
                <w:highlight w:val="none"/>
                <w:vertAlign w:val="baseline"/>
                <w:lang w:bidi="ar"/>
              </w:rPr>
            </w:pPr>
          </w:p>
        </w:tc>
        <w:tc>
          <w:tcPr>
            <w:tcW w:w="3912" w:type="dxa"/>
            <w:gridSpan w:val="2"/>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320"/>
              <w:jc w:val="center"/>
              <w:textAlignment w:val="center"/>
              <w:rPr>
                <w:rFonts w:eastAsia="仿宋"/>
                <w:color w:val="000000"/>
                <w:sz w:val="18"/>
                <w:szCs w:val="18"/>
                <w:highlight w:val="none"/>
                <w:vertAlign w:val="baseline"/>
              </w:rPr>
            </w:pPr>
            <w:r>
              <w:rPr>
                <w:rFonts w:eastAsia="仿宋"/>
                <w:color w:val="000000"/>
                <w:kern w:val="0"/>
                <w:sz w:val="18"/>
                <w:szCs w:val="18"/>
                <w:highlight w:val="none"/>
                <w:vertAlign w:val="baseline"/>
                <w:lang w:bidi="ar"/>
              </w:rPr>
              <w:t>合计数</w:t>
            </w:r>
          </w:p>
        </w:tc>
        <w:tc>
          <w:tcPr>
            <w:tcW w:w="145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320"/>
              <w:jc w:val="right"/>
              <w:textAlignment w:val="center"/>
              <w:rPr>
                <w:rFonts w:hint="default" w:eastAsia="宋体"/>
                <w:color w:val="000000"/>
                <w:sz w:val="18"/>
                <w:szCs w:val="18"/>
                <w:highlight w:val="none"/>
                <w:vertAlign w:val="baseline"/>
                <w:lang w:val="en-US" w:eastAsia="zh-CN"/>
              </w:rPr>
            </w:pPr>
            <w:r>
              <w:rPr>
                <w:rFonts w:hint="eastAsia" w:eastAsia="宋体"/>
                <w:color w:val="000000"/>
                <w:sz w:val="18"/>
                <w:szCs w:val="18"/>
                <w:highlight w:val="none"/>
                <w:vertAlign w:val="baseline"/>
                <w:lang w:val="en-US" w:eastAsia="zh-CN"/>
              </w:rPr>
              <w:t>202.32</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320"/>
              <w:jc w:val="right"/>
              <w:textAlignment w:val="center"/>
              <w:rPr>
                <w:rFonts w:hint="default" w:eastAsia="宋体"/>
                <w:color w:val="000000"/>
                <w:sz w:val="18"/>
                <w:szCs w:val="18"/>
                <w:highlight w:val="none"/>
                <w:vertAlign w:val="baseline"/>
                <w:lang w:val="en-US" w:eastAsia="zh-CN"/>
              </w:rPr>
            </w:pPr>
            <w:r>
              <w:rPr>
                <w:rFonts w:hint="eastAsia" w:eastAsia="宋体"/>
                <w:color w:val="000000"/>
                <w:sz w:val="18"/>
                <w:szCs w:val="18"/>
                <w:highlight w:val="none"/>
                <w:vertAlign w:val="baseline"/>
                <w:lang w:val="en-US" w:eastAsia="zh-CN"/>
              </w:rPr>
              <w:t>177.86</w:t>
            </w:r>
          </w:p>
        </w:tc>
        <w:tc>
          <w:tcPr>
            <w:tcW w:w="1384" w:type="dxa"/>
            <w:tcBorders>
              <w:top w:val="single" w:color="000000" w:sz="4" w:space="0"/>
              <w:left w:val="single" w:color="000000" w:sz="4" w:space="0"/>
              <w:bottom w:val="single" w:color="000000" w:sz="4" w:space="0"/>
              <w:right w:val="single" w:color="000000" w:sz="4" w:space="0"/>
            </w:tcBorders>
            <w:noWrap/>
            <w:vAlign w:val="center"/>
          </w:tcPr>
          <w:p>
            <w:pPr>
              <w:widowControl/>
              <w:adjustRightInd/>
              <w:spacing w:line="300" w:lineRule="exact"/>
              <w:ind w:firstLine="320"/>
              <w:jc w:val="right"/>
              <w:textAlignment w:val="center"/>
              <w:rPr>
                <w:rFonts w:hint="default" w:eastAsia="宋体"/>
                <w:color w:val="000000"/>
                <w:sz w:val="18"/>
                <w:szCs w:val="18"/>
                <w:highlight w:val="none"/>
                <w:vertAlign w:val="baseline"/>
                <w:lang w:val="en-US" w:eastAsia="zh-CN"/>
              </w:rPr>
            </w:pPr>
            <w:r>
              <w:rPr>
                <w:rFonts w:hint="eastAsia" w:eastAsia="宋体"/>
                <w:color w:val="000000"/>
                <w:sz w:val="18"/>
                <w:szCs w:val="18"/>
                <w:highlight w:val="none"/>
                <w:vertAlign w:val="baseline"/>
                <w:lang w:val="en-US" w:eastAsia="zh-CN"/>
              </w:rPr>
              <w:t>24.46</w:t>
            </w:r>
          </w:p>
        </w:tc>
      </w:tr>
    </w:tbl>
    <w:p>
      <w:pPr>
        <w:ind w:firstLine="640"/>
        <w:rPr>
          <w:highlight w:val="none"/>
        </w:rPr>
      </w:pPr>
      <w:r>
        <w:rPr>
          <w:rFonts w:hint="eastAsia"/>
          <w:highlight w:val="none"/>
        </w:rPr>
        <w:t>根据上述项目支出预算支出统计表，项目支出存在部分资金结余的情况，扣除资金下达较晚这一影响因素（1</w:t>
      </w:r>
      <w:r>
        <w:rPr>
          <w:rFonts w:hint="eastAsia"/>
          <w:highlight w:val="none"/>
          <w:lang w:val="en-US" w:eastAsia="zh-CN"/>
        </w:rPr>
        <w:t>0</w:t>
      </w:r>
      <w:r>
        <w:rPr>
          <w:rFonts w:hint="eastAsia"/>
          <w:highlight w:val="none"/>
        </w:rPr>
        <w:t>月份下达指标金额</w:t>
      </w:r>
      <w:r>
        <w:rPr>
          <w:rFonts w:hint="eastAsia"/>
          <w:highlight w:val="none"/>
          <w:lang w:val="en-US" w:eastAsia="zh-CN"/>
        </w:rPr>
        <w:t>45</w:t>
      </w:r>
      <w:r>
        <w:rPr>
          <w:rFonts w:hint="eastAsia"/>
          <w:highlight w:val="none"/>
        </w:rPr>
        <w:t>万元，支出金额</w:t>
      </w:r>
      <w:r>
        <w:rPr>
          <w:rFonts w:hint="eastAsia"/>
          <w:highlight w:val="none"/>
          <w:lang w:val="en-US" w:eastAsia="zh-CN"/>
        </w:rPr>
        <w:t>26.52</w:t>
      </w:r>
      <w:r>
        <w:rPr>
          <w:rFonts w:hint="eastAsia"/>
          <w:highlight w:val="none"/>
        </w:rPr>
        <w:t>万元），202</w:t>
      </w:r>
      <w:r>
        <w:rPr>
          <w:rFonts w:hint="eastAsia"/>
          <w:highlight w:val="none"/>
          <w:lang w:val="en-US" w:eastAsia="zh-CN"/>
        </w:rPr>
        <w:t>2</w:t>
      </w:r>
      <w:r>
        <w:rPr>
          <w:rFonts w:hint="eastAsia"/>
          <w:highlight w:val="none"/>
        </w:rPr>
        <w:t>年支付进度为</w:t>
      </w:r>
      <w:r>
        <w:rPr>
          <w:rFonts w:hint="eastAsia"/>
          <w:highlight w:val="none"/>
          <w:lang w:val="en-US" w:eastAsia="zh-CN"/>
        </w:rPr>
        <w:t>96.20%</w:t>
      </w:r>
      <w:r>
        <w:rPr>
          <w:rFonts w:hint="eastAsia"/>
          <w:highlight w:val="none"/>
        </w:rPr>
        <w:t>。项目资金预算执行</w:t>
      </w:r>
      <w:r>
        <w:rPr>
          <w:rFonts w:hint="eastAsia"/>
          <w:highlight w:val="none"/>
          <w:lang w:eastAsia="zh-CN"/>
        </w:rPr>
        <w:t>率良好</w:t>
      </w:r>
      <w:r>
        <w:rPr>
          <w:rFonts w:hint="eastAsia"/>
          <w:highlight w:val="none"/>
        </w:rPr>
        <w:t>。</w:t>
      </w:r>
    </w:p>
    <w:p>
      <w:pPr>
        <w:pStyle w:val="4"/>
        <w:ind w:firstLine="640"/>
        <w:rPr>
          <w:highlight w:val="none"/>
        </w:rPr>
      </w:pPr>
      <w:r>
        <w:rPr>
          <w:rFonts w:hint="eastAsia"/>
          <w:highlight w:val="none"/>
        </w:rPr>
        <w:t>三、</w:t>
      </w:r>
      <w:r>
        <w:rPr>
          <w:highlight w:val="none"/>
        </w:rPr>
        <w:t>政府性基金预算支出情况</w:t>
      </w:r>
    </w:p>
    <w:p>
      <w:pPr>
        <w:pStyle w:val="4"/>
        <w:ind w:firstLine="640"/>
        <w:rPr>
          <w:rFonts w:hint="eastAsia" w:ascii="Times New Roman" w:hAnsi="Times New Roman" w:eastAsia="仿宋_GB2312" w:cs="Times New Roman"/>
          <w:bCs w:val="0"/>
          <w:kern w:val="2"/>
          <w:sz w:val="32"/>
          <w:szCs w:val="24"/>
          <w:highlight w:val="none"/>
          <w:lang w:val="en-US" w:eastAsia="zh-CN" w:bidi="ar-SA"/>
        </w:rPr>
      </w:pPr>
      <w:r>
        <w:rPr>
          <w:rFonts w:hint="eastAsia" w:eastAsia="仿宋_GB2312" w:cs="Times New Roman"/>
          <w:bCs w:val="0"/>
          <w:kern w:val="2"/>
          <w:sz w:val="32"/>
          <w:szCs w:val="24"/>
          <w:highlight w:val="none"/>
          <w:lang w:val="en-US" w:eastAsia="zh-CN" w:bidi="ar-SA"/>
        </w:rPr>
        <w:t>岳阳市洞庭湖江豚保护中心</w:t>
      </w:r>
      <w:r>
        <w:rPr>
          <w:rFonts w:hint="eastAsia" w:ascii="Times New Roman" w:hAnsi="Times New Roman" w:eastAsia="仿宋_GB2312" w:cs="Times New Roman"/>
          <w:bCs w:val="0"/>
          <w:kern w:val="2"/>
          <w:sz w:val="32"/>
          <w:szCs w:val="24"/>
          <w:highlight w:val="none"/>
          <w:lang w:val="en-US" w:eastAsia="zh-CN" w:bidi="ar-SA"/>
        </w:rPr>
        <w:t>2022年</w:t>
      </w:r>
      <w:r>
        <w:rPr>
          <w:rFonts w:hint="eastAsia" w:eastAsia="仿宋_GB2312" w:cs="Times New Roman"/>
          <w:bCs w:val="0"/>
          <w:kern w:val="2"/>
          <w:sz w:val="32"/>
          <w:szCs w:val="24"/>
          <w:highlight w:val="none"/>
          <w:lang w:val="en-US" w:eastAsia="zh-CN" w:bidi="ar-SA"/>
        </w:rPr>
        <w:t>度无政府性基金预算支出。</w:t>
      </w:r>
    </w:p>
    <w:p>
      <w:pPr>
        <w:pStyle w:val="4"/>
        <w:ind w:firstLine="640"/>
        <w:rPr>
          <w:highlight w:val="none"/>
        </w:rPr>
      </w:pPr>
      <w:r>
        <w:rPr>
          <w:rFonts w:hint="eastAsia"/>
          <w:highlight w:val="none"/>
        </w:rPr>
        <w:t>四、</w:t>
      </w:r>
      <w:r>
        <w:rPr>
          <w:highlight w:val="none"/>
        </w:rPr>
        <w:t>国有资本经营预算支出情况</w:t>
      </w:r>
    </w:p>
    <w:p>
      <w:pPr>
        <w:ind w:firstLine="640"/>
        <w:rPr>
          <w:highlight w:val="none"/>
        </w:rPr>
      </w:pPr>
      <w:r>
        <w:rPr>
          <w:rFonts w:hint="eastAsia"/>
          <w:highlight w:val="none"/>
          <w:lang w:eastAsia="zh-CN"/>
        </w:rPr>
        <w:t>岳阳市洞庭湖江豚保护中心</w:t>
      </w:r>
      <w:r>
        <w:rPr>
          <w:highlight w:val="none"/>
        </w:rPr>
        <w:t>202</w:t>
      </w:r>
      <w:r>
        <w:rPr>
          <w:rFonts w:hint="eastAsia"/>
          <w:highlight w:val="none"/>
          <w:lang w:val="en-US" w:eastAsia="zh-CN"/>
        </w:rPr>
        <w:t>2</w:t>
      </w:r>
      <w:r>
        <w:rPr>
          <w:highlight w:val="none"/>
        </w:rPr>
        <w:t>年度无国有资本经营预算</w:t>
      </w:r>
      <w:r>
        <w:rPr>
          <w:rFonts w:hint="eastAsia"/>
          <w:highlight w:val="none"/>
        </w:rPr>
        <w:t>支出</w:t>
      </w:r>
      <w:r>
        <w:rPr>
          <w:highlight w:val="none"/>
        </w:rPr>
        <w:t>。</w:t>
      </w:r>
    </w:p>
    <w:p>
      <w:pPr>
        <w:pStyle w:val="4"/>
        <w:ind w:firstLine="640"/>
        <w:rPr>
          <w:highlight w:val="none"/>
        </w:rPr>
      </w:pPr>
      <w:r>
        <w:rPr>
          <w:rFonts w:hint="eastAsia"/>
          <w:highlight w:val="none"/>
        </w:rPr>
        <w:t>五、</w:t>
      </w:r>
      <w:r>
        <w:rPr>
          <w:highlight w:val="none"/>
        </w:rPr>
        <w:t>社会保险基金预算支出情况</w:t>
      </w:r>
    </w:p>
    <w:p>
      <w:pPr>
        <w:ind w:firstLine="640"/>
        <w:rPr>
          <w:b/>
          <w:highlight w:val="none"/>
        </w:rPr>
      </w:pPr>
      <w:r>
        <w:rPr>
          <w:rFonts w:hint="eastAsia"/>
          <w:highlight w:val="none"/>
          <w:lang w:eastAsia="zh-CN"/>
        </w:rPr>
        <w:t>岳阳市洞庭湖江豚保护中心</w:t>
      </w:r>
      <w:r>
        <w:rPr>
          <w:highlight w:val="none"/>
        </w:rPr>
        <w:t>202</w:t>
      </w:r>
      <w:r>
        <w:rPr>
          <w:rFonts w:hint="eastAsia"/>
          <w:highlight w:val="none"/>
          <w:lang w:val="en-US" w:eastAsia="zh-CN"/>
        </w:rPr>
        <w:t>2年度</w:t>
      </w:r>
      <w:r>
        <w:rPr>
          <w:highlight w:val="none"/>
        </w:rPr>
        <w:t>无社会保险基金预算</w:t>
      </w:r>
      <w:r>
        <w:rPr>
          <w:rFonts w:hint="eastAsia"/>
          <w:highlight w:val="none"/>
        </w:rPr>
        <w:t>支出</w:t>
      </w:r>
      <w:r>
        <w:rPr>
          <w:highlight w:val="none"/>
        </w:rPr>
        <w:t>。</w:t>
      </w:r>
    </w:p>
    <w:p>
      <w:pPr>
        <w:pStyle w:val="4"/>
        <w:ind w:firstLine="640"/>
        <w:rPr>
          <w:highlight w:val="none"/>
        </w:rPr>
      </w:pPr>
      <w:r>
        <w:rPr>
          <w:rFonts w:hint="eastAsia"/>
          <w:highlight w:val="none"/>
        </w:rPr>
        <w:t>六、</w:t>
      </w:r>
      <w:r>
        <w:rPr>
          <w:highlight w:val="none"/>
        </w:rPr>
        <w:t>部门整体支出绩效情况</w:t>
      </w:r>
    </w:p>
    <w:p>
      <w:pPr>
        <w:ind w:firstLine="640"/>
        <w:rPr>
          <w:kern w:val="0"/>
          <w:highlight w:val="none"/>
        </w:rPr>
      </w:pPr>
      <w:r>
        <w:rPr>
          <w:rFonts w:hint="eastAsia" w:ascii="仿宋_GB2312" w:hAnsi="仿宋_GB2312" w:eastAsia="仿宋_GB2312" w:cs="仿宋_GB2312"/>
          <w:sz w:val="32"/>
          <w:szCs w:val="32"/>
          <w:highlight w:val="none"/>
          <w:lang w:val="en-US" w:eastAsia="zh-CN"/>
        </w:rPr>
        <w:t>2022年</w:t>
      </w:r>
      <w:r>
        <w:rPr>
          <w:rFonts w:hint="eastAsia" w:ascii="仿宋_GB2312" w:hAnsi="仿宋_GB2312" w:cs="仿宋_GB2312"/>
          <w:sz w:val="32"/>
          <w:szCs w:val="32"/>
          <w:highlight w:val="none"/>
          <w:lang w:val="en-US"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cs="仿宋_GB2312"/>
          <w:sz w:val="32"/>
          <w:szCs w:val="32"/>
          <w:highlight w:val="none"/>
          <w:lang w:val="en-US" w:eastAsia="zh-CN"/>
        </w:rPr>
        <w:t>根据</w:t>
      </w:r>
      <w:r>
        <w:rPr>
          <w:rFonts w:hint="eastAsia" w:ascii="仿宋_GB2312" w:hAnsi="仿宋_GB2312" w:eastAsia="仿宋_GB2312" w:cs="仿宋_GB2312"/>
          <w:sz w:val="32"/>
          <w:szCs w:val="32"/>
          <w:highlight w:val="none"/>
          <w:lang w:val="en-US" w:eastAsia="zh-CN"/>
        </w:rPr>
        <w:t>年</w:t>
      </w:r>
      <w:r>
        <w:rPr>
          <w:rFonts w:hint="eastAsia" w:ascii="仿宋_GB2312" w:hAnsi="仿宋_GB2312" w:cs="仿宋_GB2312"/>
          <w:sz w:val="32"/>
          <w:szCs w:val="32"/>
          <w:highlight w:val="none"/>
          <w:lang w:val="en-US" w:eastAsia="zh-CN"/>
        </w:rPr>
        <w:t>初工作计划，</w:t>
      </w:r>
      <w:r>
        <w:rPr>
          <w:kern w:val="0"/>
          <w:highlight w:val="none"/>
        </w:rPr>
        <w:t>认真履行职责</w:t>
      </w:r>
      <w:r>
        <w:rPr>
          <w:spacing w:val="-8"/>
          <w:kern w:val="0"/>
          <w:highlight w:val="none"/>
        </w:rPr>
        <w:t>，较好地完成了各项工作任务</w:t>
      </w:r>
      <w:r>
        <w:rPr>
          <w:rFonts w:hint="eastAsia" w:ascii="仿宋_GB2312" w:hAnsi="仿宋_GB2312" w:eastAsia="仿宋_GB2312" w:cs="仿宋_GB2312"/>
          <w:sz w:val="32"/>
          <w:szCs w:val="32"/>
          <w:highlight w:val="none"/>
          <w:lang w:val="en-US" w:eastAsia="zh-CN"/>
        </w:rPr>
        <w:t>。</w:t>
      </w:r>
      <w:r>
        <w:rPr>
          <w:spacing w:val="-8"/>
          <w:kern w:val="0"/>
          <w:highlight w:val="none"/>
        </w:rPr>
        <w:t>根据《部门整体支出绩效自评表》自评分</w:t>
      </w:r>
      <w:r>
        <w:rPr>
          <w:rFonts w:hint="eastAsia"/>
          <w:spacing w:val="-8"/>
          <w:kern w:val="0"/>
          <w:highlight w:val="none"/>
        </w:rPr>
        <w:t>9</w:t>
      </w:r>
      <w:r>
        <w:rPr>
          <w:rFonts w:hint="eastAsia"/>
          <w:spacing w:val="-8"/>
          <w:kern w:val="0"/>
          <w:highlight w:val="none"/>
          <w:lang w:val="en-US" w:eastAsia="zh-CN"/>
        </w:rPr>
        <w:t>9.20</w:t>
      </w:r>
      <w:r>
        <w:rPr>
          <w:spacing w:val="-8"/>
          <w:kern w:val="0"/>
          <w:highlight w:val="none"/>
        </w:rPr>
        <w:t>分（</w:t>
      </w:r>
      <w:r>
        <w:rPr>
          <w:kern w:val="0"/>
          <w:highlight w:val="none"/>
        </w:rPr>
        <w:t>详见附</w:t>
      </w:r>
      <w:r>
        <w:rPr>
          <w:rFonts w:hint="eastAsia"/>
          <w:kern w:val="0"/>
          <w:highlight w:val="none"/>
        </w:rPr>
        <w:t>表</w:t>
      </w:r>
      <w:r>
        <w:rPr>
          <w:kern w:val="0"/>
          <w:highlight w:val="none"/>
        </w:rPr>
        <w:t>2），部门整体支出绩效为“优”。</w:t>
      </w:r>
    </w:p>
    <w:p>
      <w:pPr>
        <w:pStyle w:val="5"/>
        <w:ind w:firstLine="643"/>
        <w:rPr>
          <w:rFonts w:hint="eastAsia" w:eastAsia="楷体_GB2312"/>
          <w:highlight w:val="none"/>
          <w:lang w:eastAsia="zh-CN"/>
        </w:rPr>
      </w:pPr>
      <w:r>
        <w:rPr>
          <w:rFonts w:hint="eastAsia"/>
          <w:highlight w:val="none"/>
        </w:rPr>
        <w:t>（一）</w:t>
      </w:r>
      <w:r>
        <w:rPr>
          <w:rFonts w:hint="eastAsia"/>
          <w:highlight w:val="none"/>
          <w:lang w:eastAsia="zh-CN"/>
        </w:rPr>
        <w:t>从</w:t>
      </w:r>
      <w:r>
        <w:rPr>
          <w:highlight w:val="none"/>
        </w:rPr>
        <w:t>严控</w:t>
      </w:r>
      <w:r>
        <w:rPr>
          <w:rFonts w:hint="eastAsia"/>
          <w:highlight w:val="none"/>
          <w:lang w:eastAsia="zh-CN"/>
        </w:rPr>
        <w:t>运行成本方面完成情况如下：</w:t>
      </w:r>
    </w:p>
    <w:p>
      <w:pPr>
        <w:ind w:firstLine="640"/>
        <w:rPr>
          <w:rFonts w:hint="eastAsia"/>
          <w:highlight w:val="none"/>
        </w:rPr>
      </w:pPr>
      <w:r>
        <w:rPr>
          <w:highlight w:val="none"/>
        </w:rPr>
        <w:t>202</w:t>
      </w:r>
      <w:r>
        <w:rPr>
          <w:rFonts w:hint="eastAsia"/>
          <w:highlight w:val="none"/>
          <w:lang w:val="en-US" w:eastAsia="zh-CN"/>
        </w:rPr>
        <w:t>2</w:t>
      </w:r>
      <w:r>
        <w:rPr>
          <w:rFonts w:hint="eastAsia"/>
          <w:highlight w:val="none"/>
        </w:rPr>
        <w:t>年“三公”经费支出</w:t>
      </w:r>
      <w:r>
        <w:rPr>
          <w:rFonts w:hint="eastAsia"/>
          <w:highlight w:val="none"/>
          <w:lang w:val="en-US" w:eastAsia="zh-CN"/>
        </w:rPr>
        <w:t>2.06</w:t>
      </w:r>
      <w:r>
        <w:rPr>
          <w:rFonts w:hint="eastAsia"/>
          <w:highlight w:val="none"/>
        </w:rPr>
        <w:t>万元，其中公务接待费</w:t>
      </w:r>
      <w:r>
        <w:rPr>
          <w:rFonts w:hint="eastAsia"/>
          <w:highlight w:val="none"/>
          <w:lang w:val="en-US" w:eastAsia="zh-CN"/>
        </w:rPr>
        <w:t>2.06</w:t>
      </w:r>
      <w:r>
        <w:rPr>
          <w:rFonts w:hint="eastAsia"/>
          <w:highlight w:val="none"/>
        </w:rPr>
        <w:t>万元、公务用车运行维护费</w:t>
      </w:r>
      <w:r>
        <w:rPr>
          <w:rFonts w:hint="eastAsia"/>
          <w:highlight w:val="none"/>
          <w:lang w:val="en-US" w:eastAsia="zh-CN"/>
        </w:rPr>
        <w:t>0</w:t>
      </w:r>
      <w:r>
        <w:rPr>
          <w:rFonts w:hint="eastAsia"/>
          <w:highlight w:val="none"/>
        </w:rPr>
        <w:t>万元、车辆购置费支出</w:t>
      </w:r>
      <w:r>
        <w:rPr>
          <w:rFonts w:hint="eastAsia"/>
          <w:highlight w:val="none"/>
          <w:lang w:val="en-US" w:eastAsia="zh-CN"/>
        </w:rPr>
        <w:t>0</w:t>
      </w:r>
      <w:r>
        <w:rPr>
          <w:rFonts w:hint="eastAsia"/>
          <w:highlight w:val="none"/>
        </w:rPr>
        <w:t>万元</w:t>
      </w:r>
      <w:r>
        <w:rPr>
          <w:rFonts w:hint="eastAsia"/>
          <w:highlight w:val="none"/>
          <w:lang w:eastAsia="zh-CN"/>
        </w:rPr>
        <w:t>、出国经费支出</w:t>
      </w:r>
      <w:r>
        <w:rPr>
          <w:rFonts w:hint="eastAsia"/>
          <w:highlight w:val="none"/>
          <w:lang w:val="en-US" w:eastAsia="zh-CN"/>
        </w:rPr>
        <w:t>0万元</w:t>
      </w:r>
      <w:r>
        <w:rPr>
          <w:rFonts w:hint="eastAsia"/>
          <w:highlight w:val="none"/>
        </w:rPr>
        <w:t>，较年初预算</w:t>
      </w:r>
      <w:r>
        <w:rPr>
          <w:rFonts w:hint="eastAsia"/>
          <w:highlight w:val="none"/>
          <w:lang w:val="en-US" w:eastAsia="zh-CN"/>
        </w:rPr>
        <w:t>3</w:t>
      </w:r>
      <w:r>
        <w:rPr>
          <w:rFonts w:hint="eastAsia"/>
          <w:highlight w:val="none"/>
        </w:rPr>
        <w:t>万元节约</w:t>
      </w:r>
      <w:r>
        <w:rPr>
          <w:rFonts w:hint="eastAsia"/>
          <w:highlight w:val="none"/>
          <w:lang w:val="en-US" w:eastAsia="zh-CN"/>
        </w:rPr>
        <w:t>0.94</w:t>
      </w:r>
      <w:r>
        <w:rPr>
          <w:rFonts w:hint="eastAsia"/>
          <w:highlight w:val="none"/>
        </w:rPr>
        <w:t>万元，节约比为</w:t>
      </w:r>
      <w:r>
        <w:rPr>
          <w:rFonts w:hint="eastAsia"/>
          <w:highlight w:val="none"/>
          <w:lang w:val="en-US" w:eastAsia="zh-CN"/>
        </w:rPr>
        <w:t>31.33</w:t>
      </w:r>
      <w:r>
        <w:rPr>
          <w:highlight w:val="none"/>
        </w:rPr>
        <w:t>%</w:t>
      </w:r>
      <w:r>
        <w:rPr>
          <w:rFonts w:hint="eastAsia"/>
          <w:highlight w:val="none"/>
        </w:rPr>
        <w:t>。合理控制在预算以内。</w:t>
      </w:r>
    </w:p>
    <w:p>
      <w:pPr>
        <w:pStyle w:val="100"/>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楷体_GB2312" w:cs="Times New Roman"/>
          <w:b/>
          <w:sz w:val="32"/>
          <w:szCs w:val="32"/>
          <w:highlight w:val="none"/>
          <w:lang w:val="en-US" w:eastAsia="zh-CN"/>
        </w:rPr>
      </w:pPr>
      <w:r>
        <w:rPr>
          <w:rFonts w:hint="eastAsia" w:ascii="Times New Roman" w:hAnsi="Times New Roman" w:eastAsia="楷体_GB2312" w:cs="Times New Roman"/>
          <w:b/>
          <w:sz w:val="32"/>
          <w:szCs w:val="32"/>
          <w:highlight w:val="none"/>
          <w:lang w:val="en-US" w:eastAsia="zh-CN"/>
        </w:rPr>
        <w:t>（</w:t>
      </w:r>
      <w:r>
        <w:rPr>
          <w:rFonts w:hint="eastAsia" w:eastAsia="楷体_GB2312" w:cs="Times New Roman"/>
          <w:b/>
          <w:sz w:val="32"/>
          <w:szCs w:val="32"/>
          <w:highlight w:val="none"/>
          <w:lang w:val="en-US" w:eastAsia="zh-CN"/>
        </w:rPr>
        <w:t>二</w:t>
      </w:r>
      <w:r>
        <w:rPr>
          <w:rFonts w:hint="eastAsia" w:ascii="Times New Roman" w:hAnsi="Times New Roman" w:eastAsia="楷体_GB2312" w:cs="Times New Roman"/>
          <w:b/>
          <w:sz w:val="32"/>
          <w:szCs w:val="32"/>
          <w:highlight w:val="none"/>
          <w:lang w:val="en-US" w:eastAsia="zh-CN"/>
        </w:rPr>
        <w:t>）从数量、质量、时效等方面完成情况如下：</w:t>
      </w:r>
    </w:p>
    <w:p>
      <w:pPr>
        <w:keepNext w:val="0"/>
        <w:keepLines w:val="0"/>
        <w:pageBreakBefore w:val="0"/>
        <w:widowControl w:val="0"/>
        <w:kinsoku/>
        <w:wordWrap/>
        <w:overflowPunct/>
        <w:topLinePunct w:val="0"/>
        <w:autoSpaceDE/>
        <w:autoSpaceDN/>
        <w:bidi w:val="0"/>
        <w:adjustRightInd w:val="0"/>
        <w:snapToGrid w:val="0"/>
        <w:spacing w:line="640" w:lineRule="exact"/>
        <w:ind w:firstLine="632"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联合省水产科学研究所开展洞庭湖枯水期水生生物监测工作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完成</w:t>
      </w:r>
      <w:r>
        <w:rPr>
          <w:rFonts w:hint="eastAsia" w:ascii="仿宋_GB2312" w:hAnsi="仿宋_GB2312" w:eastAsia="仿宋_GB2312" w:cs="仿宋_GB2312"/>
          <w:color w:val="000000"/>
          <w:sz w:val="32"/>
          <w:szCs w:val="32"/>
          <w:highlight w:val="none"/>
        </w:rPr>
        <w:t>水产种质资源保护区内水生生物资源及生存环境的监测1次</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sz w:val="32"/>
          <w:szCs w:val="32"/>
          <w:highlight w:val="none"/>
        </w:rPr>
        <w:t>参加农业农村部组织的长江流域宜昌至城陵矶段的长江江豚科学考察工作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完成</w:t>
      </w:r>
      <w:r>
        <w:rPr>
          <w:rFonts w:hint="eastAsia" w:ascii="仿宋_GB2312" w:hAnsi="仿宋_GB2312" w:eastAsia="仿宋_GB2312" w:cs="仿宋_GB2312"/>
          <w:color w:val="000000"/>
          <w:sz w:val="32"/>
          <w:szCs w:val="32"/>
          <w:highlight w:val="none"/>
        </w:rPr>
        <w:t>长江江豚生态科学考察1次</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开展</w:t>
      </w:r>
      <w:r>
        <w:rPr>
          <w:rFonts w:hint="eastAsia" w:ascii="仿宋_GB2312" w:hAnsi="仿宋_GB2312" w:eastAsia="仿宋_GB2312" w:cs="仿宋_GB2312"/>
          <w:color w:val="000000"/>
          <w:sz w:val="32"/>
          <w:szCs w:val="32"/>
          <w:highlight w:val="none"/>
        </w:rPr>
        <w:t>保护区内外来物种调查1次。</w:t>
      </w:r>
      <w:r>
        <w:rPr>
          <w:rFonts w:hint="eastAsia" w:ascii="仿宋_GB2312" w:hAnsi="仿宋_GB2312" w:eastAsia="仿宋_GB2312" w:cs="仿宋_GB2312"/>
          <w:color w:val="000000"/>
          <w:sz w:val="32"/>
          <w:szCs w:val="32"/>
          <w:highlight w:val="none"/>
          <w:lang w:val="en-US" w:eastAsia="zh-CN"/>
        </w:rPr>
        <w:t>合计3次。</w:t>
      </w:r>
    </w:p>
    <w:p>
      <w:pPr>
        <w:keepNext w:val="0"/>
        <w:keepLines w:val="0"/>
        <w:pageBreakBefore w:val="0"/>
        <w:widowControl w:val="0"/>
        <w:kinsoku/>
        <w:wordWrap/>
        <w:overflowPunct/>
        <w:topLinePunct w:val="0"/>
        <w:autoSpaceDE/>
        <w:autoSpaceDN/>
        <w:bidi w:val="0"/>
        <w:adjustRightInd w:val="0"/>
        <w:snapToGrid w:val="0"/>
        <w:spacing w:line="640" w:lineRule="exact"/>
        <w:ind w:firstLine="632"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kern w:val="0"/>
          <w:sz w:val="32"/>
          <w:szCs w:val="32"/>
          <w:highlight w:val="none"/>
          <w:lang w:val="en-US" w:eastAsia="zh-CN" w:bidi="ar-SA"/>
        </w:rPr>
        <w:t>（2）</w:t>
      </w:r>
      <w:r>
        <w:rPr>
          <w:rFonts w:hint="eastAsia" w:ascii="仿宋_GB2312" w:hAnsi="仿宋_GB2312" w:eastAsia="仿宋_GB2312" w:cs="仿宋_GB2312"/>
          <w:color w:val="000000"/>
          <w:sz w:val="32"/>
          <w:szCs w:val="32"/>
          <w:highlight w:val="none"/>
        </w:rPr>
        <w:t>开展资源养护行动，人工增殖放流1次，共放流鲴鱼苗</w:t>
      </w:r>
      <w:r>
        <w:rPr>
          <w:rFonts w:hint="eastAsia" w:ascii="仿宋_GB2312" w:hAnsi="仿宋_GB2312" w:eastAsia="仿宋_GB2312" w:cs="仿宋_GB2312"/>
          <w:color w:val="000000"/>
          <w:sz w:val="32"/>
          <w:szCs w:val="32"/>
          <w:highlight w:val="none"/>
          <w:lang w:val="en-US" w:eastAsia="zh-CN"/>
        </w:rPr>
        <w:t>4.8</w:t>
      </w:r>
      <w:r>
        <w:rPr>
          <w:rFonts w:hint="eastAsia" w:ascii="仿宋_GB2312" w:hAnsi="仿宋_GB2312" w:eastAsia="仿宋_GB2312" w:cs="仿宋_GB2312"/>
          <w:color w:val="000000"/>
          <w:sz w:val="32"/>
          <w:szCs w:val="32"/>
          <w:highlight w:val="none"/>
        </w:rPr>
        <w:t>万尾。</w:t>
      </w:r>
    </w:p>
    <w:p>
      <w:pPr>
        <w:keepNext w:val="0"/>
        <w:keepLines w:val="0"/>
        <w:pageBreakBefore w:val="0"/>
        <w:widowControl w:val="0"/>
        <w:kinsoku/>
        <w:wordWrap/>
        <w:overflowPunct/>
        <w:topLinePunct w:val="0"/>
        <w:autoSpaceDE/>
        <w:autoSpaceDN/>
        <w:bidi w:val="0"/>
        <w:adjustRightInd w:val="0"/>
        <w:snapToGrid w:val="0"/>
        <w:spacing w:line="640" w:lineRule="exact"/>
        <w:ind w:firstLine="632"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（3）完成</w:t>
      </w:r>
      <w:r>
        <w:rPr>
          <w:rFonts w:hint="eastAsia" w:ascii="仿宋_GB2312" w:hAnsi="仿宋_GB2312" w:eastAsia="仿宋_GB2312" w:cs="仿宋_GB2312"/>
          <w:color w:val="000000"/>
          <w:sz w:val="32"/>
          <w:szCs w:val="32"/>
          <w:highlight w:val="none"/>
        </w:rPr>
        <w:t>“东洞庭湖长江江豚等水生野生动植物生态修复工程项目”</w:t>
      </w:r>
      <w:r>
        <w:rPr>
          <w:rFonts w:hint="eastAsia" w:ascii="仿宋_GB2312" w:hAnsi="仿宋_GB2312" w:eastAsia="仿宋_GB2312" w:cs="仿宋_GB2312"/>
          <w:color w:val="000000"/>
          <w:sz w:val="32"/>
          <w:szCs w:val="32"/>
          <w:highlight w:val="none"/>
          <w:lang w:val="en-US" w:eastAsia="zh-CN"/>
        </w:rPr>
        <w:t>的申报，并</w:t>
      </w:r>
      <w:r>
        <w:rPr>
          <w:rFonts w:hint="eastAsia" w:ascii="仿宋_GB2312" w:hAnsi="仿宋_GB2312" w:eastAsia="仿宋_GB2312" w:cs="仿宋_GB2312"/>
          <w:color w:val="000000"/>
          <w:sz w:val="32"/>
          <w:szCs w:val="32"/>
          <w:highlight w:val="none"/>
        </w:rPr>
        <w:t>获批。</w:t>
      </w:r>
    </w:p>
    <w:p>
      <w:pPr>
        <w:keepNext w:val="0"/>
        <w:keepLines w:val="0"/>
        <w:pageBreakBefore w:val="0"/>
        <w:widowControl w:val="0"/>
        <w:kinsoku/>
        <w:wordWrap/>
        <w:overflowPunct/>
        <w:topLinePunct w:val="0"/>
        <w:autoSpaceDE/>
        <w:autoSpaceDN/>
        <w:bidi w:val="0"/>
        <w:adjustRightInd w:val="0"/>
        <w:snapToGrid w:val="0"/>
        <w:spacing w:line="640" w:lineRule="exact"/>
        <w:ind w:firstLine="632" w:firstLineChars="200"/>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4</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开展长江江豚等水生野生动物救护工作。通过加强保护区巡查，对长江江豚主要活动区域坚持每天开展一到两次的巡湖活动，已成功救护长江江豚</w:t>
      </w: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头。</w:t>
      </w:r>
    </w:p>
    <w:p>
      <w:pPr>
        <w:keepNext w:val="0"/>
        <w:keepLines w:val="0"/>
        <w:pageBreakBefore w:val="0"/>
        <w:widowControl w:val="0"/>
        <w:kinsoku/>
        <w:wordWrap/>
        <w:overflowPunct/>
        <w:topLinePunct w:val="0"/>
        <w:autoSpaceDE/>
        <w:autoSpaceDN/>
        <w:bidi w:val="0"/>
        <w:adjustRightInd w:val="0"/>
        <w:snapToGrid w:val="0"/>
        <w:spacing w:line="640" w:lineRule="exact"/>
        <w:ind w:firstLine="632" w:firstLineChars="200"/>
        <w:textAlignment w:val="auto"/>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val="en-US" w:eastAsia="zh-CN"/>
        </w:rPr>
        <w:t>（5）通过</w:t>
      </w:r>
      <w:r>
        <w:rPr>
          <w:rFonts w:hint="eastAsia" w:ascii="仿宋_GB2312" w:hAnsi="仿宋_GB2312" w:eastAsia="仿宋_GB2312" w:cs="仿宋_GB2312"/>
          <w:color w:val="000000"/>
          <w:sz w:val="32"/>
          <w:szCs w:val="32"/>
          <w:highlight w:val="none"/>
        </w:rPr>
        <w:t>发放宣传资料、悬挂标语横幅、设置广告宣传牌、公布长江江豚保护救护电话，更换宣传牌</w:t>
      </w:r>
      <w:r>
        <w:rPr>
          <w:rFonts w:hint="eastAsia" w:ascii="仿宋_GB2312" w:hAnsi="仿宋_GB2312" w:eastAsia="仿宋_GB2312" w:cs="仿宋_GB2312"/>
          <w:color w:val="000000"/>
          <w:sz w:val="32"/>
          <w:szCs w:val="32"/>
          <w:highlight w:val="none"/>
          <w:lang w:val="en-US" w:eastAsia="zh-CN"/>
        </w:rPr>
        <w:t>2块</w:t>
      </w:r>
      <w:r>
        <w:rPr>
          <w:rFonts w:hint="eastAsia" w:ascii="仿宋_GB2312" w:hAnsi="仿宋_GB2312" w:eastAsia="仿宋_GB2312" w:cs="仿宋_GB2312"/>
          <w:color w:val="000000"/>
          <w:sz w:val="32"/>
          <w:szCs w:val="32"/>
          <w:highlight w:val="none"/>
        </w:rPr>
        <w:t>、印制宣传手册等方式，广泛宣传水产种质资源保护及长江江豚保护的重要性</w:t>
      </w:r>
      <w:r>
        <w:rPr>
          <w:rFonts w:hint="eastAsia" w:ascii="仿宋_GB2312" w:hAnsi="仿宋_GB2312" w:eastAsia="仿宋_GB2312" w:cs="仿宋_GB2312"/>
          <w:color w:val="000000"/>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32" w:firstLineChars="200"/>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6）2022年，</w:t>
      </w:r>
      <w:r>
        <w:rPr>
          <w:rFonts w:hint="eastAsia" w:ascii="仿宋_GB2312" w:hAnsi="仿宋_GB2312" w:eastAsia="仿宋_GB2312" w:cs="仿宋_GB2312"/>
          <w:color w:val="000000"/>
          <w:sz w:val="32"/>
          <w:szCs w:val="32"/>
          <w:highlight w:val="none"/>
        </w:rPr>
        <w:t>落实生态补偿资金</w:t>
      </w:r>
      <w:r>
        <w:rPr>
          <w:rFonts w:hint="eastAsia" w:ascii="仿宋_GB2312" w:hAnsi="仿宋_GB2312" w:eastAsia="仿宋_GB2312" w:cs="仿宋_GB2312"/>
          <w:color w:val="000000"/>
          <w:sz w:val="32"/>
          <w:szCs w:val="32"/>
          <w:highlight w:val="none"/>
          <w:lang w:val="en-US" w:eastAsia="zh-CN"/>
        </w:rPr>
        <w:t>319万元。</w:t>
      </w:r>
    </w:p>
    <w:p>
      <w:pPr>
        <w:pStyle w:val="100"/>
        <w:keepNext w:val="0"/>
        <w:keepLines w:val="0"/>
        <w:pageBreakBefore w:val="0"/>
        <w:widowControl/>
        <w:kinsoku/>
        <w:wordWrap/>
        <w:overflowPunct/>
        <w:topLinePunct w:val="0"/>
        <w:autoSpaceDE/>
        <w:autoSpaceDN/>
        <w:bidi w:val="0"/>
        <w:adjustRightInd/>
        <w:snapToGrid/>
        <w:spacing w:line="640" w:lineRule="exact"/>
        <w:ind w:firstLine="632" w:firstLineChars="200"/>
        <w:jc w:val="both"/>
        <w:textAlignment w:val="auto"/>
        <w:rPr>
          <w:rFonts w:hint="eastAsia" w:ascii="Times New Roman" w:hAnsi="Times New Roman" w:eastAsia="楷体_GB2312" w:cs="Times New Roman"/>
          <w:b/>
          <w:sz w:val="32"/>
          <w:szCs w:val="32"/>
          <w:highlight w:val="none"/>
          <w:lang w:val="en-US" w:eastAsia="zh-CN"/>
        </w:rPr>
      </w:pPr>
      <w:r>
        <w:rPr>
          <w:rFonts w:hint="eastAsia" w:ascii="Times New Roman" w:hAnsi="Times New Roman" w:eastAsia="楷体_GB2312" w:cs="Times New Roman"/>
          <w:b/>
          <w:sz w:val="32"/>
          <w:szCs w:val="32"/>
          <w:highlight w:val="none"/>
          <w:lang w:val="en-US" w:eastAsia="zh-CN"/>
        </w:rPr>
        <w:t>（</w:t>
      </w:r>
      <w:r>
        <w:rPr>
          <w:rFonts w:hint="eastAsia" w:eastAsia="楷体_GB2312" w:cs="Times New Roman"/>
          <w:b/>
          <w:sz w:val="32"/>
          <w:szCs w:val="32"/>
          <w:highlight w:val="none"/>
          <w:lang w:val="en-US" w:eastAsia="zh-CN"/>
        </w:rPr>
        <w:t>三</w:t>
      </w:r>
      <w:r>
        <w:rPr>
          <w:rFonts w:hint="eastAsia" w:ascii="Times New Roman" w:hAnsi="Times New Roman" w:eastAsia="楷体_GB2312" w:cs="Times New Roman"/>
          <w:b/>
          <w:sz w:val="32"/>
          <w:szCs w:val="32"/>
          <w:highlight w:val="none"/>
          <w:lang w:val="en-US" w:eastAsia="zh-CN"/>
        </w:rPr>
        <w:t>）从社会效益、生态效益等方面完成情况如下：</w:t>
      </w:r>
    </w:p>
    <w:p>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632" w:firstLineChars="200"/>
        <w:jc w:val="both"/>
        <w:textAlignment w:val="auto"/>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color w:val="000000"/>
          <w:kern w:val="2"/>
          <w:sz w:val="32"/>
          <w:szCs w:val="32"/>
          <w:highlight w:val="none"/>
          <w:lang w:val="en-US" w:eastAsia="zh-CN" w:bidi="ar-SA"/>
        </w:rPr>
        <w:t>（1）提高了社会群众对水产种质资源及长江江豚等水生生物的保护意识和参与度。</w:t>
      </w:r>
    </w:p>
    <w:p>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632" w:firstLineChars="200"/>
        <w:jc w:val="both"/>
        <w:textAlignment w:val="auto"/>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color w:val="000000"/>
          <w:kern w:val="2"/>
          <w:sz w:val="32"/>
          <w:szCs w:val="32"/>
          <w:highlight w:val="none"/>
          <w:lang w:val="en-US" w:eastAsia="zh-CN" w:bidi="ar-SA"/>
        </w:rPr>
        <w:t>（2）参与相关部门的多次联合专项行动，努力改善长江江豚等濒危水生生物的栖息环境，促进生态环境可持续发展。根据2022年全流域长江江豚科学考察数据，洞庭湖江豚数量约162头，种群数量呈现向好趋势。</w:t>
      </w:r>
      <w:bookmarkStart w:id="0" w:name="_GoBack"/>
      <w:bookmarkEnd w:id="0"/>
    </w:p>
    <w:p>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632" w:firstLineChars="200"/>
        <w:jc w:val="both"/>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bidi="ar-SA"/>
        </w:rPr>
        <w:t>（3）</w:t>
      </w:r>
      <w:r>
        <w:rPr>
          <w:rFonts w:hint="eastAsia" w:ascii="仿宋_GB2312" w:hAnsi="仿宋_GB2312" w:eastAsia="仿宋_GB2312" w:cs="仿宋_GB2312"/>
          <w:color w:val="000000"/>
          <w:sz w:val="32"/>
          <w:szCs w:val="32"/>
          <w:highlight w:val="none"/>
          <w:lang w:val="en-US" w:eastAsia="zh-CN"/>
        </w:rPr>
        <w:t>通过发放宣传手册、宣传单及宣传牌，</w:t>
      </w:r>
      <w:r>
        <w:rPr>
          <w:rFonts w:hint="eastAsia" w:ascii="仿宋_GB2312" w:hAnsi="仿宋_GB2312" w:eastAsia="仿宋_GB2312" w:cs="仿宋_GB2312"/>
          <w:kern w:val="0"/>
          <w:sz w:val="32"/>
          <w:szCs w:val="32"/>
          <w:highlight w:val="none"/>
          <w:lang w:val="en-US" w:eastAsia="zh-CN" w:bidi="ar-SA"/>
        </w:rPr>
        <w:t>加强了与媒体的合作等水生生物保护宣传方式，特别是主动邀请媒体进行多次正面宣传报道，引导社会舆论，未造成</w:t>
      </w:r>
      <w:r>
        <w:rPr>
          <w:rFonts w:hint="eastAsia" w:ascii="仿宋_GB2312" w:hAnsi="仿宋_GB2312" w:eastAsia="仿宋_GB2312" w:cs="仿宋_GB2312"/>
          <w:color w:val="000000"/>
          <w:sz w:val="32"/>
          <w:szCs w:val="32"/>
          <w:highlight w:val="none"/>
          <w:lang w:val="en-US" w:eastAsia="zh-CN"/>
        </w:rPr>
        <w:t>社会负面影响，群众满意度较好。</w:t>
      </w:r>
    </w:p>
    <w:p>
      <w:pPr>
        <w:pStyle w:val="4"/>
        <w:ind w:firstLine="640"/>
        <w:rPr>
          <w:highlight w:val="none"/>
        </w:rPr>
      </w:pPr>
      <w:r>
        <w:rPr>
          <w:rFonts w:hint="eastAsia"/>
          <w:color w:val="000000"/>
          <w:highlight w:val="none"/>
        </w:rPr>
        <w:t>七、</w:t>
      </w:r>
      <w:r>
        <w:rPr>
          <w:highlight w:val="none"/>
        </w:rPr>
        <w:t>存在的问题及原因分析</w:t>
      </w:r>
    </w:p>
    <w:p>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632"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（一）财务人员素质有待进一步提高。由于预算绩效管理工作涉及面广，专业性强，加上缺乏系统的培训，对预算绩效管理业务不精通，从而影响绩效评价工作质量。</w:t>
      </w:r>
    </w:p>
    <w:p>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632" w:firstLineChars="200"/>
        <w:jc w:val="both"/>
        <w:textAlignment w:val="auto"/>
        <w:rPr>
          <w:rFonts w:hint="default"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（二）渔业专业技能及数据分析有待进一步加强。</w:t>
      </w:r>
    </w:p>
    <w:p>
      <w:pPr>
        <w:pStyle w:val="4"/>
        <w:ind w:firstLine="640"/>
        <w:rPr>
          <w:highlight w:val="none"/>
        </w:rPr>
      </w:pPr>
      <w:r>
        <w:rPr>
          <w:rFonts w:hint="eastAsia"/>
          <w:highlight w:val="none"/>
        </w:rPr>
        <w:t>八、</w:t>
      </w:r>
      <w:r>
        <w:rPr>
          <w:highlight w:val="none"/>
        </w:rPr>
        <w:t>下一步改进措施</w:t>
      </w:r>
    </w:p>
    <w:p>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632" w:firstLineChars="200"/>
        <w:jc w:val="both"/>
        <w:textAlignment w:val="auto"/>
        <w:rPr>
          <w:rFonts w:hint="default"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（一）加强财务管理工作，财务人员要不断学习，提高业务能力。</w:t>
      </w:r>
      <w:r>
        <w:rPr>
          <w:rFonts w:hint="default" w:ascii="仿宋_GB2312" w:hAnsi="仿宋_GB2312" w:eastAsia="仿宋_GB2312" w:cs="仿宋_GB2312"/>
          <w:kern w:val="0"/>
          <w:sz w:val="32"/>
          <w:szCs w:val="32"/>
          <w:highlight w:val="none"/>
          <w:lang w:val="en-US" w:eastAsia="zh-CN" w:bidi="ar-SA"/>
        </w:rPr>
        <w:t> </w:t>
      </w:r>
    </w:p>
    <w:p>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40" w:lineRule="exact"/>
        <w:ind w:left="0" w:right="0" w:firstLine="632" w:firstLineChars="200"/>
        <w:jc w:val="both"/>
        <w:textAlignment w:val="auto"/>
        <w:rPr>
          <w:rFonts w:hint="default"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（二）加大学习、培训力度，提升工作人员的专业技术水平及数据分析能力。</w:t>
      </w:r>
    </w:p>
    <w:p>
      <w:pPr>
        <w:pStyle w:val="4"/>
        <w:ind w:firstLine="640"/>
        <w:rPr>
          <w:highlight w:val="none"/>
        </w:rPr>
      </w:pPr>
      <w:r>
        <w:rPr>
          <w:rFonts w:hint="eastAsia"/>
          <w:highlight w:val="none"/>
        </w:rPr>
        <w:t>九、</w:t>
      </w:r>
      <w:r>
        <w:rPr>
          <w:highlight w:val="none"/>
        </w:rPr>
        <w:t>绩效自评结果拟应用和公开情况</w:t>
      </w:r>
    </w:p>
    <w:p>
      <w:pPr>
        <w:ind w:firstLine="640"/>
        <w:rPr>
          <w:highlight w:val="none"/>
        </w:rPr>
      </w:pPr>
      <w:r>
        <w:rPr>
          <w:highlight w:val="none"/>
        </w:rPr>
        <w:t>一是落实绩效评价结果公开公示制度，将绩效评价报告上网公开，接受社会监督。二是加强绩效自评结果的应用，将评价中发现</w:t>
      </w:r>
      <w:r>
        <w:rPr>
          <w:spacing w:val="-6"/>
          <w:szCs w:val="22"/>
          <w:highlight w:val="none"/>
        </w:rPr>
        <w:t>的管理薄弱环节向各项目主管部门、实施单位进行反馈，要求逐一研究对策、落实整改责任并督促项目实施主体整改到位，绩</w:t>
      </w:r>
      <w:r>
        <w:rPr>
          <w:highlight w:val="none"/>
        </w:rPr>
        <w:t>效评价结果将作为以后年度专项资金分配的重要依据。</w:t>
      </w:r>
    </w:p>
    <w:p>
      <w:pPr>
        <w:ind w:firstLine="640"/>
        <w:rPr>
          <w:kern w:val="0"/>
          <w:highlight w:val="none"/>
        </w:rPr>
      </w:pPr>
      <w:r>
        <w:rPr>
          <w:rFonts w:hint="eastAsia"/>
          <w:kern w:val="0"/>
          <w:highlight w:val="none"/>
        </w:rPr>
        <w:t>附表：1.</w:t>
      </w:r>
      <w:r>
        <w:rPr>
          <w:kern w:val="0"/>
          <w:highlight w:val="none"/>
        </w:rPr>
        <w:t>202</w:t>
      </w:r>
      <w:r>
        <w:rPr>
          <w:rFonts w:hint="eastAsia"/>
          <w:kern w:val="0"/>
          <w:highlight w:val="none"/>
          <w:lang w:val="en-US" w:eastAsia="zh-CN"/>
        </w:rPr>
        <w:t>2</w:t>
      </w:r>
      <w:r>
        <w:rPr>
          <w:kern w:val="0"/>
          <w:highlight w:val="none"/>
        </w:rPr>
        <w:t>年度部门整体支出绩效评价基础数据表</w:t>
      </w:r>
    </w:p>
    <w:p>
      <w:pPr>
        <w:ind w:firstLine="1580" w:firstLineChars="500"/>
        <w:rPr>
          <w:kern w:val="0"/>
          <w:highlight w:val="none"/>
        </w:rPr>
      </w:pPr>
      <w:r>
        <w:rPr>
          <w:rFonts w:hint="eastAsia"/>
          <w:kern w:val="0"/>
          <w:highlight w:val="none"/>
        </w:rPr>
        <w:t>2.</w:t>
      </w:r>
      <w:r>
        <w:rPr>
          <w:kern w:val="0"/>
          <w:highlight w:val="none"/>
        </w:rPr>
        <w:t>202</w:t>
      </w:r>
      <w:r>
        <w:rPr>
          <w:rFonts w:hint="eastAsia"/>
          <w:kern w:val="0"/>
          <w:highlight w:val="none"/>
          <w:lang w:val="en-US" w:eastAsia="zh-CN"/>
        </w:rPr>
        <w:t>2</w:t>
      </w:r>
      <w:r>
        <w:rPr>
          <w:kern w:val="0"/>
          <w:highlight w:val="none"/>
        </w:rPr>
        <w:t>年度部门整体支出绩效自评表</w:t>
      </w:r>
    </w:p>
    <w:p>
      <w:pPr>
        <w:ind w:firstLine="1580" w:firstLineChars="500"/>
        <w:rPr>
          <w:kern w:val="0"/>
          <w:highlight w:val="none"/>
        </w:rPr>
      </w:pPr>
      <w:r>
        <w:rPr>
          <w:rFonts w:hint="eastAsia"/>
          <w:kern w:val="0"/>
          <w:highlight w:val="none"/>
        </w:rPr>
        <w:t>3.</w:t>
      </w:r>
      <w:r>
        <w:rPr>
          <w:kern w:val="0"/>
          <w:highlight w:val="none"/>
        </w:rPr>
        <w:t>202</w:t>
      </w:r>
      <w:r>
        <w:rPr>
          <w:rFonts w:hint="eastAsia"/>
          <w:kern w:val="0"/>
          <w:highlight w:val="none"/>
          <w:lang w:val="en-US" w:eastAsia="zh-CN"/>
        </w:rPr>
        <w:t>2</w:t>
      </w:r>
      <w:r>
        <w:rPr>
          <w:kern w:val="0"/>
          <w:highlight w:val="none"/>
        </w:rPr>
        <w:t>年度</w:t>
      </w:r>
      <w:r>
        <w:rPr>
          <w:rFonts w:hint="eastAsia"/>
          <w:kern w:val="0"/>
          <w:highlight w:val="none"/>
        </w:rPr>
        <w:t>项目支出</w:t>
      </w:r>
      <w:r>
        <w:rPr>
          <w:kern w:val="0"/>
          <w:highlight w:val="none"/>
        </w:rPr>
        <w:t>绩效自评表</w:t>
      </w:r>
    </w:p>
    <w:p>
      <w:pPr>
        <w:adjustRightInd/>
        <w:snapToGrid/>
        <w:spacing w:after="120" w:line="240" w:lineRule="auto"/>
        <w:ind w:firstLine="0" w:firstLineChars="0"/>
      </w:pPr>
    </w:p>
    <w:sectPr>
      <w:headerReference r:id="rId6" w:type="first"/>
      <w:footerReference r:id="rId9" w:type="first"/>
      <w:headerReference r:id="rId5" w:type="default"/>
      <w:footerReference r:id="rId7" w:type="default"/>
      <w:footerReference r:id="rId8" w:type="even"/>
      <w:pgSz w:w="11906" w:h="16838"/>
      <w:pgMar w:top="2098" w:right="1474" w:bottom="1985" w:left="1588" w:header="851" w:footer="1588" w:gutter="0"/>
      <w:pgNumType w:fmt="decimal"/>
      <w:cols w:space="425" w:num="1"/>
      <w:titlePg/>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32"/>
      </w:pPr>
      <w:r>
        <w:separator/>
      </w:r>
    </w:p>
  </w:endnote>
  <w:endnote w:type="continuationSeparator" w:id="1">
    <w:p>
      <w:pPr>
        <w:spacing w:line="240" w:lineRule="auto"/>
        <w:ind w:firstLine="63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t xml:space="preserve">— </w:t>
                          </w:r>
                          <w:r>
                            <w:fldChar w:fldCharType="begin"/>
                          </w:r>
                          <w:r>
                            <w:instrText xml:space="preserve"> PAGE  \* MERGEFORMAT </w:instrText>
                          </w:r>
                          <w:r>
                            <w:fldChar w:fldCharType="separate"/>
                          </w:r>
                          <w:r>
                            <w:t>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1"/>
                    </w:pPr>
                    <w:r>
                      <w:t xml:space="preserve">— </w:t>
                    </w:r>
                    <w:r>
                      <w:fldChar w:fldCharType="begin"/>
                    </w:r>
                    <w:r>
                      <w:instrText xml:space="preserve"> PAGE  \* MERGEFORMAT </w:instrText>
                    </w:r>
                    <w:r>
                      <w:fldChar w:fldCharType="separate"/>
                    </w:r>
                    <w:r>
                      <w:t>3</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1"/>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0" w:firstLineChars="0"/>
      <w:jc w:val="right"/>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32"/>
      </w:pPr>
      <w:r>
        <w:separator/>
      </w:r>
    </w:p>
  </w:footnote>
  <w:footnote w:type="continuationSeparator" w:id="1">
    <w:p>
      <w:pPr>
        <w:spacing w:line="240" w:lineRule="auto"/>
        <w:ind w:firstLine="63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419"/>
  <w:hyphenationZone w:val="360"/>
  <w:evenAndOddHeaders w:val="1"/>
  <w:drawingGridHorizontalSpacing w:val="158"/>
  <w:drawingGridVerticalSpacing w:val="57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ED1"/>
    <w:rsid w:val="00002FA5"/>
    <w:rsid w:val="00006C32"/>
    <w:rsid w:val="00007908"/>
    <w:rsid w:val="00007EC3"/>
    <w:rsid w:val="00024EF4"/>
    <w:rsid w:val="000302CA"/>
    <w:rsid w:val="000346D0"/>
    <w:rsid w:val="00035A54"/>
    <w:rsid w:val="0004256F"/>
    <w:rsid w:val="00067530"/>
    <w:rsid w:val="0007169A"/>
    <w:rsid w:val="0008224A"/>
    <w:rsid w:val="0008225D"/>
    <w:rsid w:val="00086951"/>
    <w:rsid w:val="00093228"/>
    <w:rsid w:val="00093C24"/>
    <w:rsid w:val="000A5BE6"/>
    <w:rsid w:val="000A7285"/>
    <w:rsid w:val="000A7F14"/>
    <w:rsid w:val="000B2D96"/>
    <w:rsid w:val="000C0529"/>
    <w:rsid w:val="000C09A4"/>
    <w:rsid w:val="000D245B"/>
    <w:rsid w:val="000D6C15"/>
    <w:rsid w:val="000D7E84"/>
    <w:rsid w:val="000E3FAC"/>
    <w:rsid w:val="000F6ADF"/>
    <w:rsid w:val="000F7DE6"/>
    <w:rsid w:val="0010233B"/>
    <w:rsid w:val="0010631C"/>
    <w:rsid w:val="001102AC"/>
    <w:rsid w:val="001154B0"/>
    <w:rsid w:val="00117FB4"/>
    <w:rsid w:val="00133085"/>
    <w:rsid w:val="00136317"/>
    <w:rsid w:val="001377BA"/>
    <w:rsid w:val="00144B63"/>
    <w:rsid w:val="00146AEA"/>
    <w:rsid w:val="0015554F"/>
    <w:rsid w:val="001615F1"/>
    <w:rsid w:val="0017713B"/>
    <w:rsid w:val="001912F6"/>
    <w:rsid w:val="001A3707"/>
    <w:rsid w:val="001B41C1"/>
    <w:rsid w:val="001B576C"/>
    <w:rsid w:val="001C6157"/>
    <w:rsid w:val="001D436C"/>
    <w:rsid w:val="001E26AE"/>
    <w:rsid w:val="001E5562"/>
    <w:rsid w:val="001F0E1D"/>
    <w:rsid w:val="001F27A7"/>
    <w:rsid w:val="001F7E44"/>
    <w:rsid w:val="002132E7"/>
    <w:rsid w:val="00216DE3"/>
    <w:rsid w:val="00217325"/>
    <w:rsid w:val="0022253E"/>
    <w:rsid w:val="00224FE2"/>
    <w:rsid w:val="00233FE1"/>
    <w:rsid w:val="00236CF7"/>
    <w:rsid w:val="00251ED1"/>
    <w:rsid w:val="00252761"/>
    <w:rsid w:val="00266387"/>
    <w:rsid w:val="00267433"/>
    <w:rsid w:val="002728F5"/>
    <w:rsid w:val="00277442"/>
    <w:rsid w:val="00284A16"/>
    <w:rsid w:val="00294B7F"/>
    <w:rsid w:val="002A03AF"/>
    <w:rsid w:val="002B50BC"/>
    <w:rsid w:val="002B555C"/>
    <w:rsid w:val="002B699F"/>
    <w:rsid w:val="002C2BE9"/>
    <w:rsid w:val="002C41CA"/>
    <w:rsid w:val="002C48EE"/>
    <w:rsid w:val="002D5F5D"/>
    <w:rsid w:val="002D60ED"/>
    <w:rsid w:val="002E1B41"/>
    <w:rsid w:val="002E2434"/>
    <w:rsid w:val="002F2983"/>
    <w:rsid w:val="0030431E"/>
    <w:rsid w:val="003267B3"/>
    <w:rsid w:val="00337314"/>
    <w:rsid w:val="0034527E"/>
    <w:rsid w:val="00354CF2"/>
    <w:rsid w:val="00367730"/>
    <w:rsid w:val="0037196F"/>
    <w:rsid w:val="00373C5B"/>
    <w:rsid w:val="00377880"/>
    <w:rsid w:val="0039444A"/>
    <w:rsid w:val="003950F8"/>
    <w:rsid w:val="003B583C"/>
    <w:rsid w:val="003B61D2"/>
    <w:rsid w:val="003D1A2E"/>
    <w:rsid w:val="003E1A3C"/>
    <w:rsid w:val="003E6BF2"/>
    <w:rsid w:val="003E6E7A"/>
    <w:rsid w:val="003E7845"/>
    <w:rsid w:val="003F5B52"/>
    <w:rsid w:val="00401E5A"/>
    <w:rsid w:val="004038A1"/>
    <w:rsid w:val="0040762C"/>
    <w:rsid w:val="004137CE"/>
    <w:rsid w:val="0042011E"/>
    <w:rsid w:val="00426898"/>
    <w:rsid w:val="004530E2"/>
    <w:rsid w:val="00457133"/>
    <w:rsid w:val="004579C4"/>
    <w:rsid w:val="00457D86"/>
    <w:rsid w:val="0048169E"/>
    <w:rsid w:val="00483935"/>
    <w:rsid w:val="004A4F35"/>
    <w:rsid w:val="004B1401"/>
    <w:rsid w:val="004B4FE9"/>
    <w:rsid w:val="004C72CA"/>
    <w:rsid w:val="005027D2"/>
    <w:rsid w:val="00503846"/>
    <w:rsid w:val="00503C28"/>
    <w:rsid w:val="005153F7"/>
    <w:rsid w:val="00521399"/>
    <w:rsid w:val="00524EFB"/>
    <w:rsid w:val="0052588C"/>
    <w:rsid w:val="00527AFA"/>
    <w:rsid w:val="00533C33"/>
    <w:rsid w:val="0053594C"/>
    <w:rsid w:val="00562C13"/>
    <w:rsid w:val="00563FA5"/>
    <w:rsid w:val="005748F0"/>
    <w:rsid w:val="005759E9"/>
    <w:rsid w:val="005775BA"/>
    <w:rsid w:val="00586695"/>
    <w:rsid w:val="00595DED"/>
    <w:rsid w:val="005A07BC"/>
    <w:rsid w:val="005B11C3"/>
    <w:rsid w:val="005B339E"/>
    <w:rsid w:val="005C33EA"/>
    <w:rsid w:val="005E1B34"/>
    <w:rsid w:val="005F34FB"/>
    <w:rsid w:val="005F3821"/>
    <w:rsid w:val="005F5909"/>
    <w:rsid w:val="005F73B8"/>
    <w:rsid w:val="00604BA3"/>
    <w:rsid w:val="00615EC6"/>
    <w:rsid w:val="00620A06"/>
    <w:rsid w:val="0062279B"/>
    <w:rsid w:val="006313B1"/>
    <w:rsid w:val="00665671"/>
    <w:rsid w:val="00665ADA"/>
    <w:rsid w:val="0067095B"/>
    <w:rsid w:val="00672B50"/>
    <w:rsid w:val="00673E18"/>
    <w:rsid w:val="00675749"/>
    <w:rsid w:val="00682A36"/>
    <w:rsid w:val="0069343F"/>
    <w:rsid w:val="0069486E"/>
    <w:rsid w:val="00694E45"/>
    <w:rsid w:val="006A3FED"/>
    <w:rsid w:val="006B4787"/>
    <w:rsid w:val="006C1E2E"/>
    <w:rsid w:val="006C26C5"/>
    <w:rsid w:val="006C73CA"/>
    <w:rsid w:val="006D54CA"/>
    <w:rsid w:val="006E0038"/>
    <w:rsid w:val="006E5060"/>
    <w:rsid w:val="006E5C7E"/>
    <w:rsid w:val="007019FA"/>
    <w:rsid w:val="0070315A"/>
    <w:rsid w:val="0072068B"/>
    <w:rsid w:val="00721062"/>
    <w:rsid w:val="00727E0B"/>
    <w:rsid w:val="0073122A"/>
    <w:rsid w:val="00731536"/>
    <w:rsid w:val="00733C8A"/>
    <w:rsid w:val="0073790C"/>
    <w:rsid w:val="00741589"/>
    <w:rsid w:val="007427C9"/>
    <w:rsid w:val="007455B2"/>
    <w:rsid w:val="007568E8"/>
    <w:rsid w:val="00765C97"/>
    <w:rsid w:val="007718B4"/>
    <w:rsid w:val="00773DC7"/>
    <w:rsid w:val="00776445"/>
    <w:rsid w:val="007815EC"/>
    <w:rsid w:val="00782E66"/>
    <w:rsid w:val="00792789"/>
    <w:rsid w:val="00795933"/>
    <w:rsid w:val="00797BCD"/>
    <w:rsid w:val="007A354F"/>
    <w:rsid w:val="007A3BBB"/>
    <w:rsid w:val="007D76CA"/>
    <w:rsid w:val="007F2205"/>
    <w:rsid w:val="008061C9"/>
    <w:rsid w:val="00806288"/>
    <w:rsid w:val="0081054E"/>
    <w:rsid w:val="00835465"/>
    <w:rsid w:val="008413A8"/>
    <w:rsid w:val="00843891"/>
    <w:rsid w:val="00852393"/>
    <w:rsid w:val="008538CD"/>
    <w:rsid w:val="00855188"/>
    <w:rsid w:val="00865296"/>
    <w:rsid w:val="00870033"/>
    <w:rsid w:val="00871348"/>
    <w:rsid w:val="008776FD"/>
    <w:rsid w:val="00881379"/>
    <w:rsid w:val="00896890"/>
    <w:rsid w:val="008A2D85"/>
    <w:rsid w:val="008B1111"/>
    <w:rsid w:val="008B3BA8"/>
    <w:rsid w:val="008B575D"/>
    <w:rsid w:val="008B6CCC"/>
    <w:rsid w:val="008C1899"/>
    <w:rsid w:val="008E1E37"/>
    <w:rsid w:val="008E7182"/>
    <w:rsid w:val="008F171E"/>
    <w:rsid w:val="008F50D3"/>
    <w:rsid w:val="008F72A2"/>
    <w:rsid w:val="00903E16"/>
    <w:rsid w:val="009049D6"/>
    <w:rsid w:val="009064B9"/>
    <w:rsid w:val="009064D6"/>
    <w:rsid w:val="00906A01"/>
    <w:rsid w:val="009079C9"/>
    <w:rsid w:val="00922662"/>
    <w:rsid w:val="00927203"/>
    <w:rsid w:val="00927721"/>
    <w:rsid w:val="0093280E"/>
    <w:rsid w:val="009403B0"/>
    <w:rsid w:val="0094521C"/>
    <w:rsid w:val="00950A17"/>
    <w:rsid w:val="00964980"/>
    <w:rsid w:val="00966A61"/>
    <w:rsid w:val="0097714D"/>
    <w:rsid w:val="009A0D0B"/>
    <w:rsid w:val="009A58CD"/>
    <w:rsid w:val="009A7352"/>
    <w:rsid w:val="009C1F50"/>
    <w:rsid w:val="009C6B4F"/>
    <w:rsid w:val="009D0976"/>
    <w:rsid w:val="009D25AA"/>
    <w:rsid w:val="009D48E6"/>
    <w:rsid w:val="009D538B"/>
    <w:rsid w:val="009D7B7A"/>
    <w:rsid w:val="009F1215"/>
    <w:rsid w:val="009F168E"/>
    <w:rsid w:val="009F666F"/>
    <w:rsid w:val="00A10FDD"/>
    <w:rsid w:val="00A30E90"/>
    <w:rsid w:val="00A3204B"/>
    <w:rsid w:val="00A375F0"/>
    <w:rsid w:val="00A4569D"/>
    <w:rsid w:val="00A70CA8"/>
    <w:rsid w:val="00A85D9A"/>
    <w:rsid w:val="00A94A8D"/>
    <w:rsid w:val="00AB17A5"/>
    <w:rsid w:val="00AC4D1B"/>
    <w:rsid w:val="00AD3872"/>
    <w:rsid w:val="00AD4BBF"/>
    <w:rsid w:val="00AE41C0"/>
    <w:rsid w:val="00AF084E"/>
    <w:rsid w:val="00B04AD2"/>
    <w:rsid w:val="00B10150"/>
    <w:rsid w:val="00B25C99"/>
    <w:rsid w:val="00B313CA"/>
    <w:rsid w:val="00B55B1C"/>
    <w:rsid w:val="00B611C2"/>
    <w:rsid w:val="00B664A4"/>
    <w:rsid w:val="00B8517D"/>
    <w:rsid w:val="00B92FC9"/>
    <w:rsid w:val="00B959D4"/>
    <w:rsid w:val="00BA7C79"/>
    <w:rsid w:val="00BB3DE4"/>
    <w:rsid w:val="00BB65B3"/>
    <w:rsid w:val="00BD26D1"/>
    <w:rsid w:val="00BD60C7"/>
    <w:rsid w:val="00BD6869"/>
    <w:rsid w:val="00BE3D09"/>
    <w:rsid w:val="00BF1979"/>
    <w:rsid w:val="00BF211C"/>
    <w:rsid w:val="00C13948"/>
    <w:rsid w:val="00C14CF9"/>
    <w:rsid w:val="00C15974"/>
    <w:rsid w:val="00C2144B"/>
    <w:rsid w:val="00C339B2"/>
    <w:rsid w:val="00C34A2D"/>
    <w:rsid w:val="00C61E8F"/>
    <w:rsid w:val="00C710D5"/>
    <w:rsid w:val="00C86A8F"/>
    <w:rsid w:val="00C92528"/>
    <w:rsid w:val="00CC5681"/>
    <w:rsid w:val="00CC6D71"/>
    <w:rsid w:val="00CD472A"/>
    <w:rsid w:val="00CD5A39"/>
    <w:rsid w:val="00D0666A"/>
    <w:rsid w:val="00D17C1F"/>
    <w:rsid w:val="00D2221C"/>
    <w:rsid w:val="00D2232E"/>
    <w:rsid w:val="00D30562"/>
    <w:rsid w:val="00D3279E"/>
    <w:rsid w:val="00D35381"/>
    <w:rsid w:val="00D35B7D"/>
    <w:rsid w:val="00D63025"/>
    <w:rsid w:val="00D64B70"/>
    <w:rsid w:val="00D65A24"/>
    <w:rsid w:val="00DA5429"/>
    <w:rsid w:val="00DB1C5C"/>
    <w:rsid w:val="00DC0256"/>
    <w:rsid w:val="00DD2777"/>
    <w:rsid w:val="00DE1BB9"/>
    <w:rsid w:val="00DE1DC6"/>
    <w:rsid w:val="00DE26F2"/>
    <w:rsid w:val="00DF1B80"/>
    <w:rsid w:val="00DF520F"/>
    <w:rsid w:val="00E00CB9"/>
    <w:rsid w:val="00E204A6"/>
    <w:rsid w:val="00E22202"/>
    <w:rsid w:val="00E23973"/>
    <w:rsid w:val="00E3159F"/>
    <w:rsid w:val="00E31D76"/>
    <w:rsid w:val="00E3678B"/>
    <w:rsid w:val="00E400C6"/>
    <w:rsid w:val="00E514B3"/>
    <w:rsid w:val="00E53B2C"/>
    <w:rsid w:val="00E55A3B"/>
    <w:rsid w:val="00E67162"/>
    <w:rsid w:val="00E73319"/>
    <w:rsid w:val="00E82DC3"/>
    <w:rsid w:val="00E8626A"/>
    <w:rsid w:val="00E95FB7"/>
    <w:rsid w:val="00EB5BC3"/>
    <w:rsid w:val="00EC4A9C"/>
    <w:rsid w:val="00ED13D7"/>
    <w:rsid w:val="00ED2096"/>
    <w:rsid w:val="00EE0F9A"/>
    <w:rsid w:val="00EE280B"/>
    <w:rsid w:val="00EE34C6"/>
    <w:rsid w:val="00EF1153"/>
    <w:rsid w:val="00EF3047"/>
    <w:rsid w:val="00F0414A"/>
    <w:rsid w:val="00F126DF"/>
    <w:rsid w:val="00F15826"/>
    <w:rsid w:val="00F370F9"/>
    <w:rsid w:val="00F450B9"/>
    <w:rsid w:val="00F509BB"/>
    <w:rsid w:val="00F50CAF"/>
    <w:rsid w:val="00F51F00"/>
    <w:rsid w:val="00F6075A"/>
    <w:rsid w:val="00F743D7"/>
    <w:rsid w:val="00F77585"/>
    <w:rsid w:val="00F95C78"/>
    <w:rsid w:val="00FB6858"/>
    <w:rsid w:val="00FC2996"/>
    <w:rsid w:val="00FE04AD"/>
    <w:rsid w:val="017E2E02"/>
    <w:rsid w:val="01806305"/>
    <w:rsid w:val="0190659F"/>
    <w:rsid w:val="02462464"/>
    <w:rsid w:val="029F675D"/>
    <w:rsid w:val="02AA4C69"/>
    <w:rsid w:val="02DB5A62"/>
    <w:rsid w:val="03084030"/>
    <w:rsid w:val="034858F1"/>
    <w:rsid w:val="03595B8B"/>
    <w:rsid w:val="039659F0"/>
    <w:rsid w:val="03C6073D"/>
    <w:rsid w:val="03CB0448"/>
    <w:rsid w:val="03E04B6A"/>
    <w:rsid w:val="03EB50FA"/>
    <w:rsid w:val="043445F5"/>
    <w:rsid w:val="044B1D9A"/>
    <w:rsid w:val="044D771D"/>
    <w:rsid w:val="04DF6C8C"/>
    <w:rsid w:val="050723CE"/>
    <w:rsid w:val="050C0A55"/>
    <w:rsid w:val="05161364"/>
    <w:rsid w:val="0521001E"/>
    <w:rsid w:val="05511549"/>
    <w:rsid w:val="0551724E"/>
    <w:rsid w:val="05590644"/>
    <w:rsid w:val="05C31040"/>
    <w:rsid w:val="05CB3411"/>
    <w:rsid w:val="05DA5C2A"/>
    <w:rsid w:val="05F23B78"/>
    <w:rsid w:val="0617220C"/>
    <w:rsid w:val="061D7998"/>
    <w:rsid w:val="064F5BE9"/>
    <w:rsid w:val="066F0938"/>
    <w:rsid w:val="06A47871"/>
    <w:rsid w:val="06AC0501"/>
    <w:rsid w:val="06B5558D"/>
    <w:rsid w:val="0701348E"/>
    <w:rsid w:val="070F1E70"/>
    <w:rsid w:val="072E5257"/>
    <w:rsid w:val="074C4807"/>
    <w:rsid w:val="0763442C"/>
    <w:rsid w:val="07705CC0"/>
    <w:rsid w:val="0776564B"/>
    <w:rsid w:val="07B25830"/>
    <w:rsid w:val="07DC6674"/>
    <w:rsid w:val="07DE62F4"/>
    <w:rsid w:val="07F80BD6"/>
    <w:rsid w:val="08257D6D"/>
    <w:rsid w:val="08313B80"/>
    <w:rsid w:val="08352586"/>
    <w:rsid w:val="08433A9A"/>
    <w:rsid w:val="0843731D"/>
    <w:rsid w:val="08491227"/>
    <w:rsid w:val="08AB7102"/>
    <w:rsid w:val="08ED0FC9"/>
    <w:rsid w:val="08FB3249"/>
    <w:rsid w:val="090F4CF9"/>
    <w:rsid w:val="09A536E1"/>
    <w:rsid w:val="0A4557E9"/>
    <w:rsid w:val="0A983F6E"/>
    <w:rsid w:val="0AAB2F8F"/>
    <w:rsid w:val="0ABB3229"/>
    <w:rsid w:val="0AC460B7"/>
    <w:rsid w:val="0B580B29"/>
    <w:rsid w:val="0B737155"/>
    <w:rsid w:val="0B8D7CFF"/>
    <w:rsid w:val="0C1002D8"/>
    <w:rsid w:val="0C2A2E85"/>
    <w:rsid w:val="0C840F3B"/>
    <w:rsid w:val="0C922E30"/>
    <w:rsid w:val="0CA507CB"/>
    <w:rsid w:val="0CFD24DF"/>
    <w:rsid w:val="0D213998"/>
    <w:rsid w:val="0D6B4803"/>
    <w:rsid w:val="0D6D6016"/>
    <w:rsid w:val="0D7342EE"/>
    <w:rsid w:val="0DB05806"/>
    <w:rsid w:val="0DCD3B4B"/>
    <w:rsid w:val="0DD2467A"/>
    <w:rsid w:val="0DEC4366"/>
    <w:rsid w:val="0E064F10"/>
    <w:rsid w:val="0E073180"/>
    <w:rsid w:val="0E0F266C"/>
    <w:rsid w:val="0E0F581F"/>
    <w:rsid w:val="0E152FAC"/>
    <w:rsid w:val="0E201B3A"/>
    <w:rsid w:val="0E321257"/>
    <w:rsid w:val="0E401553"/>
    <w:rsid w:val="0E4E5304"/>
    <w:rsid w:val="0E750A47"/>
    <w:rsid w:val="0EA51596"/>
    <w:rsid w:val="0EA67017"/>
    <w:rsid w:val="0EC407C6"/>
    <w:rsid w:val="0F063405"/>
    <w:rsid w:val="0F1550CD"/>
    <w:rsid w:val="0F2A39ED"/>
    <w:rsid w:val="0F6D064C"/>
    <w:rsid w:val="0FA820BD"/>
    <w:rsid w:val="0FB2044E"/>
    <w:rsid w:val="0FB94B3F"/>
    <w:rsid w:val="0FCC6DFA"/>
    <w:rsid w:val="0FEA05A8"/>
    <w:rsid w:val="10157F2F"/>
    <w:rsid w:val="10227809"/>
    <w:rsid w:val="10930CC0"/>
    <w:rsid w:val="10AD196B"/>
    <w:rsid w:val="10DC6C37"/>
    <w:rsid w:val="113B28A3"/>
    <w:rsid w:val="113B4A52"/>
    <w:rsid w:val="11456666"/>
    <w:rsid w:val="11604C92"/>
    <w:rsid w:val="119C2ECA"/>
    <w:rsid w:val="11B17F14"/>
    <w:rsid w:val="11C56BB4"/>
    <w:rsid w:val="11CC653F"/>
    <w:rsid w:val="11DC205D"/>
    <w:rsid w:val="123B45F5"/>
    <w:rsid w:val="12604834"/>
    <w:rsid w:val="12B51D40"/>
    <w:rsid w:val="134770B1"/>
    <w:rsid w:val="1382238D"/>
    <w:rsid w:val="13B860EB"/>
    <w:rsid w:val="13D8531B"/>
    <w:rsid w:val="13E02727"/>
    <w:rsid w:val="14632D00"/>
    <w:rsid w:val="14687188"/>
    <w:rsid w:val="149B66DD"/>
    <w:rsid w:val="149C1580"/>
    <w:rsid w:val="14A23AEA"/>
    <w:rsid w:val="153C164B"/>
    <w:rsid w:val="154A777B"/>
    <w:rsid w:val="15502E9C"/>
    <w:rsid w:val="15875F52"/>
    <w:rsid w:val="15BF7E4D"/>
    <w:rsid w:val="15E61F83"/>
    <w:rsid w:val="1604242C"/>
    <w:rsid w:val="16072265"/>
    <w:rsid w:val="161923D2"/>
    <w:rsid w:val="16E14399"/>
    <w:rsid w:val="16F75470"/>
    <w:rsid w:val="177C0994"/>
    <w:rsid w:val="179E21CE"/>
    <w:rsid w:val="17CA6515"/>
    <w:rsid w:val="184119D7"/>
    <w:rsid w:val="1872382B"/>
    <w:rsid w:val="18825CC3"/>
    <w:rsid w:val="189D5A8C"/>
    <w:rsid w:val="19155232"/>
    <w:rsid w:val="19237DCB"/>
    <w:rsid w:val="193F76FB"/>
    <w:rsid w:val="194D4493"/>
    <w:rsid w:val="198E3FFE"/>
    <w:rsid w:val="19FE0A33"/>
    <w:rsid w:val="1A0F674F"/>
    <w:rsid w:val="1A184E60"/>
    <w:rsid w:val="1A4B59CE"/>
    <w:rsid w:val="1A592FC2"/>
    <w:rsid w:val="1A620757"/>
    <w:rsid w:val="1A674BDF"/>
    <w:rsid w:val="1A9C7638"/>
    <w:rsid w:val="1AA8344A"/>
    <w:rsid w:val="1AB52760"/>
    <w:rsid w:val="1B0E6672"/>
    <w:rsid w:val="1B1736FE"/>
    <w:rsid w:val="1B4F4E1D"/>
    <w:rsid w:val="1B50295E"/>
    <w:rsid w:val="1B535AE1"/>
    <w:rsid w:val="1B554868"/>
    <w:rsid w:val="1BA90A6F"/>
    <w:rsid w:val="1C08210D"/>
    <w:rsid w:val="1C2B7D43"/>
    <w:rsid w:val="1C2C57C5"/>
    <w:rsid w:val="1C3C12E2"/>
    <w:rsid w:val="1C427968"/>
    <w:rsid w:val="1C7601C2"/>
    <w:rsid w:val="1C9839FA"/>
    <w:rsid w:val="1CAA1916"/>
    <w:rsid w:val="1CEA6E7C"/>
    <w:rsid w:val="1D5A0435"/>
    <w:rsid w:val="1DE52597"/>
    <w:rsid w:val="1E060E37"/>
    <w:rsid w:val="1E2D7DA7"/>
    <w:rsid w:val="1E2F6167"/>
    <w:rsid w:val="1E6C1577"/>
    <w:rsid w:val="1EA374D2"/>
    <w:rsid w:val="1F0776F5"/>
    <w:rsid w:val="1F2E1635"/>
    <w:rsid w:val="1F750ACB"/>
    <w:rsid w:val="1F807DBA"/>
    <w:rsid w:val="1F8577EC"/>
    <w:rsid w:val="1FA173F5"/>
    <w:rsid w:val="1FD0248F"/>
    <w:rsid w:val="1FF22678"/>
    <w:rsid w:val="1FF92002"/>
    <w:rsid w:val="20061318"/>
    <w:rsid w:val="201D0F3D"/>
    <w:rsid w:val="20232E47"/>
    <w:rsid w:val="20947C82"/>
    <w:rsid w:val="20B31431"/>
    <w:rsid w:val="213C3913"/>
    <w:rsid w:val="215779C0"/>
    <w:rsid w:val="21783778"/>
    <w:rsid w:val="218B6F16"/>
    <w:rsid w:val="219A357D"/>
    <w:rsid w:val="21A346F6"/>
    <w:rsid w:val="21B300DA"/>
    <w:rsid w:val="21D44D8B"/>
    <w:rsid w:val="222D60D3"/>
    <w:rsid w:val="22370983"/>
    <w:rsid w:val="223728B2"/>
    <w:rsid w:val="22392531"/>
    <w:rsid w:val="223A0FFD"/>
    <w:rsid w:val="22701D1D"/>
    <w:rsid w:val="22A41BE1"/>
    <w:rsid w:val="22B221FB"/>
    <w:rsid w:val="22C748BC"/>
    <w:rsid w:val="22D43A35"/>
    <w:rsid w:val="22F132C7"/>
    <w:rsid w:val="237779BB"/>
    <w:rsid w:val="23983773"/>
    <w:rsid w:val="248641DF"/>
    <w:rsid w:val="24A60DCE"/>
    <w:rsid w:val="252D345A"/>
    <w:rsid w:val="25846F83"/>
    <w:rsid w:val="259F425C"/>
    <w:rsid w:val="25AB795A"/>
    <w:rsid w:val="25CA6332"/>
    <w:rsid w:val="260625F3"/>
    <w:rsid w:val="262D4A31"/>
    <w:rsid w:val="26365340"/>
    <w:rsid w:val="263E6EC9"/>
    <w:rsid w:val="26492CDC"/>
    <w:rsid w:val="265D6995"/>
    <w:rsid w:val="267F31B6"/>
    <w:rsid w:val="26811F3C"/>
    <w:rsid w:val="26B846DD"/>
    <w:rsid w:val="26FA56AA"/>
    <w:rsid w:val="271C4339"/>
    <w:rsid w:val="27401076"/>
    <w:rsid w:val="27536A11"/>
    <w:rsid w:val="278504E5"/>
    <w:rsid w:val="27AB294D"/>
    <w:rsid w:val="27EA020A"/>
    <w:rsid w:val="27F84FA1"/>
    <w:rsid w:val="280A78D0"/>
    <w:rsid w:val="288A2311"/>
    <w:rsid w:val="288A4510"/>
    <w:rsid w:val="289528A1"/>
    <w:rsid w:val="29046F6E"/>
    <w:rsid w:val="290563D8"/>
    <w:rsid w:val="29791C1A"/>
    <w:rsid w:val="299A59D2"/>
    <w:rsid w:val="2A172D9D"/>
    <w:rsid w:val="2A1F3DDC"/>
    <w:rsid w:val="2A4C79F4"/>
    <w:rsid w:val="2A816BC9"/>
    <w:rsid w:val="2AB3069D"/>
    <w:rsid w:val="2ACA60C4"/>
    <w:rsid w:val="2AE6436F"/>
    <w:rsid w:val="2AEF2A80"/>
    <w:rsid w:val="2AFA354A"/>
    <w:rsid w:val="2B2F7FE6"/>
    <w:rsid w:val="2B47568D"/>
    <w:rsid w:val="2B4C7596"/>
    <w:rsid w:val="2B665F42"/>
    <w:rsid w:val="2B985FCE"/>
    <w:rsid w:val="2BEB3C1D"/>
    <w:rsid w:val="2BF374B3"/>
    <w:rsid w:val="2C102B57"/>
    <w:rsid w:val="2C254DBA"/>
    <w:rsid w:val="2C957CF5"/>
    <w:rsid w:val="2CAD0457"/>
    <w:rsid w:val="2CF972DD"/>
    <w:rsid w:val="2D0A65F3"/>
    <w:rsid w:val="2D440227"/>
    <w:rsid w:val="2D470656"/>
    <w:rsid w:val="2D584C67"/>
    <w:rsid w:val="2D773D38"/>
    <w:rsid w:val="2E2C490A"/>
    <w:rsid w:val="2E3C7C69"/>
    <w:rsid w:val="2EE00777"/>
    <w:rsid w:val="2F363704"/>
    <w:rsid w:val="2F406212"/>
    <w:rsid w:val="2F570245"/>
    <w:rsid w:val="2FC32F68"/>
    <w:rsid w:val="2FE343B8"/>
    <w:rsid w:val="2FFB21C9"/>
    <w:rsid w:val="300F0E69"/>
    <w:rsid w:val="305A21E2"/>
    <w:rsid w:val="30C73654"/>
    <w:rsid w:val="30E92D4B"/>
    <w:rsid w:val="30FF0771"/>
    <w:rsid w:val="310A0D01"/>
    <w:rsid w:val="312A17C7"/>
    <w:rsid w:val="315658FD"/>
    <w:rsid w:val="318908BB"/>
    <w:rsid w:val="31917CE0"/>
    <w:rsid w:val="31971BEA"/>
    <w:rsid w:val="3199610A"/>
    <w:rsid w:val="31A81E84"/>
    <w:rsid w:val="31AA7FF9"/>
    <w:rsid w:val="31FB190E"/>
    <w:rsid w:val="31FF6C4B"/>
    <w:rsid w:val="3204001F"/>
    <w:rsid w:val="320D762A"/>
    <w:rsid w:val="323E4800"/>
    <w:rsid w:val="3251022B"/>
    <w:rsid w:val="32786CD9"/>
    <w:rsid w:val="32B85544"/>
    <w:rsid w:val="32C26F97"/>
    <w:rsid w:val="32EB2827"/>
    <w:rsid w:val="32F36623"/>
    <w:rsid w:val="330246BF"/>
    <w:rsid w:val="330B3CCA"/>
    <w:rsid w:val="331A42E4"/>
    <w:rsid w:val="3332520E"/>
    <w:rsid w:val="334A7032"/>
    <w:rsid w:val="3364565D"/>
    <w:rsid w:val="338D67EF"/>
    <w:rsid w:val="34661D88"/>
    <w:rsid w:val="3468528B"/>
    <w:rsid w:val="34E116D1"/>
    <w:rsid w:val="34FC447A"/>
    <w:rsid w:val="351C1540"/>
    <w:rsid w:val="353323D5"/>
    <w:rsid w:val="35895362"/>
    <w:rsid w:val="359A307E"/>
    <w:rsid w:val="35B361A6"/>
    <w:rsid w:val="360175AB"/>
    <w:rsid w:val="368F480F"/>
    <w:rsid w:val="36ED4C29"/>
    <w:rsid w:val="37096EFE"/>
    <w:rsid w:val="3739720A"/>
    <w:rsid w:val="37445638"/>
    <w:rsid w:val="376535EE"/>
    <w:rsid w:val="379D31FE"/>
    <w:rsid w:val="37C91214"/>
    <w:rsid w:val="37F43BEE"/>
    <w:rsid w:val="380A1B7E"/>
    <w:rsid w:val="387816CC"/>
    <w:rsid w:val="38BC19A2"/>
    <w:rsid w:val="38FF590E"/>
    <w:rsid w:val="39262D30"/>
    <w:rsid w:val="392748D4"/>
    <w:rsid w:val="398D7AFC"/>
    <w:rsid w:val="39B36A66"/>
    <w:rsid w:val="39C9085A"/>
    <w:rsid w:val="39DF1730"/>
    <w:rsid w:val="3A8E143D"/>
    <w:rsid w:val="3AE95412"/>
    <w:rsid w:val="3B375A1C"/>
    <w:rsid w:val="3B55589E"/>
    <w:rsid w:val="3B882DB9"/>
    <w:rsid w:val="3B9236C9"/>
    <w:rsid w:val="3BBD7D90"/>
    <w:rsid w:val="3BD52EB9"/>
    <w:rsid w:val="3C0A7E90"/>
    <w:rsid w:val="3C0B7B0F"/>
    <w:rsid w:val="3C273BBC"/>
    <w:rsid w:val="3C345451"/>
    <w:rsid w:val="3C6E1DB2"/>
    <w:rsid w:val="3CDE58E9"/>
    <w:rsid w:val="3D034824"/>
    <w:rsid w:val="3D6337C1"/>
    <w:rsid w:val="3D681FCA"/>
    <w:rsid w:val="3DA534F8"/>
    <w:rsid w:val="3DA82DB4"/>
    <w:rsid w:val="3DBF29D9"/>
    <w:rsid w:val="3DD33817"/>
    <w:rsid w:val="3E1A5671"/>
    <w:rsid w:val="3E572F58"/>
    <w:rsid w:val="3E9C6B44"/>
    <w:rsid w:val="3EAA7E4B"/>
    <w:rsid w:val="3EC22607"/>
    <w:rsid w:val="3EE21837"/>
    <w:rsid w:val="3F266AA8"/>
    <w:rsid w:val="405939A2"/>
    <w:rsid w:val="407C15D8"/>
    <w:rsid w:val="40A01E79"/>
    <w:rsid w:val="40DA51F5"/>
    <w:rsid w:val="411E2466"/>
    <w:rsid w:val="411F4664"/>
    <w:rsid w:val="412133EB"/>
    <w:rsid w:val="41336B88"/>
    <w:rsid w:val="42277E38"/>
    <w:rsid w:val="428A2A07"/>
    <w:rsid w:val="42B34A7B"/>
    <w:rsid w:val="42C03D90"/>
    <w:rsid w:val="42C8119D"/>
    <w:rsid w:val="43006D78"/>
    <w:rsid w:val="434A3CF5"/>
    <w:rsid w:val="4351367F"/>
    <w:rsid w:val="43754B6D"/>
    <w:rsid w:val="43B45922"/>
    <w:rsid w:val="43B70AA5"/>
    <w:rsid w:val="43EE6A01"/>
    <w:rsid w:val="442F19E9"/>
    <w:rsid w:val="44877E79"/>
    <w:rsid w:val="4488337C"/>
    <w:rsid w:val="44F404AD"/>
    <w:rsid w:val="45061A4C"/>
    <w:rsid w:val="4529506B"/>
    <w:rsid w:val="45433AAF"/>
    <w:rsid w:val="45A94EF2"/>
    <w:rsid w:val="460272CE"/>
    <w:rsid w:val="464D55E6"/>
    <w:rsid w:val="46DA06CE"/>
    <w:rsid w:val="47043A90"/>
    <w:rsid w:val="47280249"/>
    <w:rsid w:val="47330D5C"/>
    <w:rsid w:val="47602B25"/>
    <w:rsid w:val="476F7A5C"/>
    <w:rsid w:val="47835663"/>
    <w:rsid w:val="47BE0940"/>
    <w:rsid w:val="47F32F87"/>
    <w:rsid w:val="482F577C"/>
    <w:rsid w:val="4841417E"/>
    <w:rsid w:val="48505CB1"/>
    <w:rsid w:val="486F2CE2"/>
    <w:rsid w:val="48751F9C"/>
    <w:rsid w:val="48DB3696"/>
    <w:rsid w:val="490D18E7"/>
    <w:rsid w:val="49283796"/>
    <w:rsid w:val="49433FBF"/>
    <w:rsid w:val="494816FA"/>
    <w:rsid w:val="495551BC"/>
    <w:rsid w:val="497F41A4"/>
    <w:rsid w:val="49825129"/>
    <w:rsid w:val="49973A49"/>
    <w:rsid w:val="499F46D9"/>
    <w:rsid w:val="49A63177"/>
    <w:rsid w:val="49E215D2"/>
    <w:rsid w:val="49F3372F"/>
    <w:rsid w:val="49F50852"/>
    <w:rsid w:val="4A01432D"/>
    <w:rsid w:val="4A152119"/>
    <w:rsid w:val="4A4970F0"/>
    <w:rsid w:val="4A8039C7"/>
    <w:rsid w:val="4A9B2BEB"/>
    <w:rsid w:val="4AA414CB"/>
    <w:rsid w:val="4ACB63C5"/>
    <w:rsid w:val="4AD52450"/>
    <w:rsid w:val="4ADB3E07"/>
    <w:rsid w:val="4AE87EF3"/>
    <w:rsid w:val="4AEC0AF8"/>
    <w:rsid w:val="4B666F41"/>
    <w:rsid w:val="4BAD69B7"/>
    <w:rsid w:val="4BD56877"/>
    <w:rsid w:val="4BDD1705"/>
    <w:rsid w:val="4C541CD3"/>
    <w:rsid w:val="4C855396"/>
    <w:rsid w:val="4C8A50A1"/>
    <w:rsid w:val="4CAF785F"/>
    <w:rsid w:val="4D0B68F4"/>
    <w:rsid w:val="4D295EA4"/>
    <w:rsid w:val="4D2A3679"/>
    <w:rsid w:val="4D3B4EC4"/>
    <w:rsid w:val="4D603DFF"/>
    <w:rsid w:val="4DA87A77"/>
    <w:rsid w:val="4E046B0C"/>
    <w:rsid w:val="4EBC62BA"/>
    <w:rsid w:val="4FAE10C6"/>
    <w:rsid w:val="4FBE1360"/>
    <w:rsid w:val="4FC04863"/>
    <w:rsid w:val="4FE528A4"/>
    <w:rsid w:val="500B7261"/>
    <w:rsid w:val="500F7E65"/>
    <w:rsid w:val="50683D77"/>
    <w:rsid w:val="50774392"/>
    <w:rsid w:val="50FA6B69"/>
    <w:rsid w:val="510B2A8A"/>
    <w:rsid w:val="513C2E56"/>
    <w:rsid w:val="51560BA3"/>
    <w:rsid w:val="516D3625"/>
    <w:rsid w:val="5171202B"/>
    <w:rsid w:val="517664B3"/>
    <w:rsid w:val="51A2607D"/>
    <w:rsid w:val="51CE3828"/>
    <w:rsid w:val="51D451DA"/>
    <w:rsid w:val="51DE4BDE"/>
    <w:rsid w:val="51EF28F9"/>
    <w:rsid w:val="52497B10"/>
    <w:rsid w:val="53145CAE"/>
    <w:rsid w:val="53252976"/>
    <w:rsid w:val="532B216B"/>
    <w:rsid w:val="53774CFF"/>
    <w:rsid w:val="538F45A4"/>
    <w:rsid w:val="53932FAA"/>
    <w:rsid w:val="53986E91"/>
    <w:rsid w:val="53E811D7"/>
    <w:rsid w:val="53EE5C42"/>
    <w:rsid w:val="54CB652A"/>
    <w:rsid w:val="54EF79E3"/>
    <w:rsid w:val="556E15B6"/>
    <w:rsid w:val="55A3078C"/>
    <w:rsid w:val="55FD7BA1"/>
    <w:rsid w:val="56085F32"/>
    <w:rsid w:val="56405192"/>
    <w:rsid w:val="56571534"/>
    <w:rsid w:val="56586FB6"/>
    <w:rsid w:val="56964AA7"/>
    <w:rsid w:val="569F5D30"/>
    <w:rsid w:val="56A725B8"/>
    <w:rsid w:val="56DA1B0D"/>
    <w:rsid w:val="57266709"/>
    <w:rsid w:val="574D65C9"/>
    <w:rsid w:val="578876A8"/>
    <w:rsid w:val="57A16053"/>
    <w:rsid w:val="57A859DE"/>
    <w:rsid w:val="57D8072B"/>
    <w:rsid w:val="57F57CDB"/>
    <w:rsid w:val="582A5313"/>
    <w:rsid w:val="583D1336"/>
    <w:rsid w:val="586D0C1F"/>
    <w:rsid w:val="587305AA"/>
    <w:rsid w:val="58743E2D"/>
    <w:rsid w:val="58BE2FA8"/>
    <w:rsid w:val="58E41B62"/>
    <w:rsid w:val="58E96A54"/>
    <w:rsid w:val="590E31C8"/>
    <w:rsid w:val="597936DB"/>
    <w:rsid w:val="59843C6A"/>
    <w:rsid w:val="59885EF4"/>
    <w:rsid w:val="59AC3B2A"/>
    <w:rsid w:val="59D91176"/>
    <w:rsid w:val="5A540ABF"/>
    <w:rsid w:val="5A582D49"/>
    <w:rsid w:val="5A6048D2"/>
    <w:rsid w:val="5A6D7BCF"/>
    <w:rsid w:val="5A7C4202"/>
    <w:rsid w:val="5AEB36A2"/>
    <w:rsid w:val="5B3F0081"/>
    <w:rsid w:val="5B417443"/>
    <w:rsid w:val="5B9F77DD"/>
    <w:rsid w:val="5BBE5D03"/>
    <w:rsid w:val="5BFA5811"/>
    <w:rsid w:val="5C281CBF"/>
    <w:rsid w:val="5C672AA9"/>
    <w:rsid w:val="5CAB2299"/>
    <w:rsid w:val="5CEE2982"/>
    <w:rsid w:val="5D086DAF"/>
    <w:rsid w:val="5D44590F"/>
    <w:rsid w:val="5D957C98"/>
    <w:rsid w:val="5DA34A2F"/>
    <w:rsid w:val="5DD64D22"/>
    <w:rsid w:val="5DEA73A2"/>
    <w:rsid w:val="5E2A0245"/>
    <w:rsid w:val="5E7A79CF"/>
    <w:rsid w:val="5E7C0E8F"/>
    <w:rsid w:val="5EAD4EE1"/>
    <w:rsid w:val="5EAE7F91"/>
    <w:rsid w:val="5EAF03E4"/>
    <w:rsid w:val="5EFA466C"/>
    <w:rsid w:val="5F0B0AFE"/>
    <w:rsid w:val="5F6605E3"/>
    <w:rsid w:val="5FD849CF"/>
    <w:rsid w:val="5FE252DE"/>
    <w:rsid w:val="6012222A"/>
    <w:rsid w:val="603A596D"/>
    <w:rsid w:val="60725AC7"/>
    <w:rsid w:val="610C5CC5"/>
    <w:rsid w:val="61302A02"/>
    <w:rsid w:val="614E6EF1"/>
    <w:rsid w:val="616F7F68"/>
    <w:rsid w:val="61883090"/>
    <w:rsid w:val="61B37758"/>
    <w:rsid w:val="61CB73F0"/>
    <w:rsid w:val="61F4100B"/>
    <w:rsid w:val="624D40D3"/>
    <w:rsid w:val="627E0125"/>
    <w:rsid w:val="629422C9"/>
    <w:rsid w:val="62CC2EFA"/>
    <w:rsid w:val="636A48AB"/>
    <w:rsid w:val="63B401A2"/>
    <w:rsid w:val="63E5044E"/>
    <w:rsid w:val="63FB3A00"/>
    <w:rsid w:val="645E4DB7"/>
    <w:rsid w:val="64683035"/>
    <w:rsid w:val="647549DD"/>
    <w:rsid w:val="64DB4467"/>
    <w:rsid w:val="651A2F6C"/>
    <w:rsid w:val="6565067D"/>
    <w:rsid w:val="656868EF"/>
    <w:rsid w:val="65865E9F"/>
    <w:rsid w:val="65A705D2"/>
    <w:rsid w:val="65EC10C6"/>
    <w:rsid w:val="66115A83"/>
    <w:rsid w:val="661F4D98"/>
    <w:rsid w:val="665F3603"/>
    <w:rsid w:val="669272D6"/>
    <w:rsid w:val="66CA2CB3"/>
    <w:rsid w:val="66E24AD6"/>
    <w:rsid w:val="66F53062"/>
    <w:rsid w:val="66FC0F03"/>
    <w:rsid w:val="672E29D7"/>
    <w:rsid w:val="67547394"/>
    <w:rsid w:val="675D7CA3"/>
    <w:rsid w:val="67864B0F"/>
    <w:rsid w:val="67CA18D2"/>
    <w:rsid w:val="684B1EAA"/>
    <w:rsid w:val="687A5CD7"/>
    <w:rsid w:val="68981FA9"/>
    <w:rsid w:val="68CB18F9"/>
    <w:rsid w:val="68CC36FD"/>
    <w:rsid w:val="695113D8"/>
    <w:rsid w:val="695B1CE7"/>
    <w:rsid w:val="69A01157"/>
    <w:rsid w:val="6A1B68A2"/>
    <w:rsid w:val="6A437A66"/>
    <w:rsid w:val="6A957D87"/>
    <w:rsid w:val="6ACB53C1"/>
    <w:rsid w:val="6ACF2EDE"/>
    <w:rsid w:val="6AD3024F"/>
    <w:rsid w:val="6B0F0434"/>
    <w:rsid w:val="6B3545B5"/>
    <w:rsid w:val="6B541526"/>
    <w:rsid w:val="6B977963"/>
    <w:rsid w:val="6B9E1FD4"/>
    <w:rsid w:val="6BE35E8E"/>
    <w:rsid w:val="6C5A1350"/>
    <w:rsid w:val="6C850F2D"/>
    <w:rsid w:val="6CA362CC"/>
    <w:rsid w:val="6CB56335"/>
    <w:rsid w:val="6CD5451D"/>
    <w:rsid w:val="6D290F54"/>
    <w:rsid w:val="6D305459"/>
    <w:rsid w:val="6D3D2DB9"/>
    <w:rsid w:val="6D4E3707"/>
    <w:rsid w:val="6D736914"/>
    <w:rsid w:val="6D7D01AD"/>
    <w:rsid w:val="6DC77328"/>
    <w:rsid w:val="6DCE6CB3"/>
    <w:rsid w:val="6DD135E5"/>
    <w:rsid w:val="6DE25953"/>
    <w:rsid w:val="6E072310"/>
    <w:rsid w:val="6E68362E"/>
    <w:rsid w:val="6F0E50C1"/>
    <w:rsid w:val="6F6303CE"/>
    <w:rsid w:val="6F77706F"/>
    <w:rsid w:val="6FA66539"/>
    <w:rsid w:val="6FE9428B"/>
    <w:rsid w:val="6FF72E40"/>
    <w:rsid w:val="70074C3C"/>
    <w:rsid w:val="700A07DC"/>
    <w:rsid w:val="7082657D"/>
    <w:rsid w:val="708B58B2"/>
    <w:rsid w:val="70BB1F3A"/>
    <w:rsid w:val="70C3128F"/>
    <w:rsid w:val="70CA2E18"/>
    <w:rsid w:val="70E24F2A"/>
    <w:rsid w:val="70FA71EB"/>
    <w:rsid w:val="710245F7"/>
    <w:rsid w:val="712944B7"/>
    <w:rsid w:val="715B3540"/>
    <w:rsid w:val="71A911D4"/>
    <w:rsid w:val="71DD525F"/>
    <w:rsid w:val="725E322F"/>
    <w:rsid w:val="725F0CB0"/>
    <w:rsid w:val="7296248F"/>
    <w:rsid w:val="729F2618"/>
    <w:rsid w:val="73283F7C"/>
    <w:rsid w:val="734463B8"/>
    <w:rsid w:val="735C0F53"/>
    <w:rsid w:val="73712F89"/>
    <w:rsid w:val="737352F5"/>
    <w:rsid w:val="73946B2F"/>
    <w:rsid w:val="739667AE"/>
    <w:rsid w:val="73F47DE9"/>
    <w:rsid w:val="740D54F4"/>
    <w:rsid w:val="74B54A08"/>
    <w:rsid w:val="74B9560C"/>
    <w:rsid w:val="74C04F97"/>
    <w:rsid w:val="750B1B93"/>
    <w:rsid w:val="750E639B"/>
    <w:rsid w:val="7512151E"/>
    <w:rsid w:val="75641328"/>
    <w:rsid w:val="7588738E"/>
    <w:rsid w:val="75A02087"/>
    <w:rsid w:val="75E14175"/>
    <w:rsid w:val="76897E06"/>
    <w:rsid w:val="76AF2244"/>
    <w:rsid w:val="76D90E8A"/>
    <w:rsid w:val="770706D4"/>
    <w:rsid w:val="771216FF"/>
    <w:rsid w:val="7714326D"/>
    <w:rsid w:val="773537A2"/>
    <w:rsid w:val="773D0BAE"/>
    <w:rsid w:val="7764686F"/>
    <w:rsid w:val="77740D08"/>
    <w:rsid w:val="77A30552"/>
    <w:rsid w:val="77AE59B8"/>
    <w:rsid w:val="78054D74"/>
    <w:rsid w:val="78476AE2"/>
    <w:rsid w:val="785E6707"/>
    <w:rsid w:val="788543C8"/>
    <w:rsid w:val="789816F7"/>
    <w:rsid w:val="78A2177A"/>
    <w:rsid w:val="78EA1B6E"/>
    <w:rsid w:val="78F757B4"/>
    <w:rsid w:val="79352EE7"/>
    <w:rsid w:val="79622AB2"/>
    <w:rsid w:val="79F37E22"/>
    <w:rsid w:val="79F57AA2"/>
    <w:rsid w:val="79FC2CB0"/>
    <w:rsid w:val="7A8E221F"/>
    <w:rsid w:val="7A9A6032"/>
    <w:rsid w:val="7B15597B"/>
    <w:rsid w:val="7B404397"/>
    <w:rsid w:val="7B683CF7"/>
    <w:rsid w:val="7B6F2B92"/>
    <w:rsid w:val="7B95216B"/>
    <w:rsid w:val="7BFA5D31"/>
    <w:rsid w:val="7C090E10"/>
    <w:rsid w:val="7C8932DF"/>
    <w:rsid w:val="7CA91615"/>
    <w:rsid w:val="7CB763AC"/>
    <w:rsid w:val="7CD32459"/>
    <w:rsid w:val="7CD82311"/>
    <w:rsid w:val="7CF30790"/>
    <w:rsid w:val="7CF34F0C"/>
    <w:rsid w:val="7D017AA5"/>
    <w:rsid w:val="7D040A67"/>
    <w:rsid w:val="7D585741"/>
    <w:rsid w:val="7DCA4F70"/>
    <w:rsid w:val="7E240B01"/>
    <w:rsid w:val="7E264004"/>
    <w:rsid w:val="7E381D20"/>
    <w:rsid w:val="7E5228CA"/>
    <w:rsid w:val="7E8A62A7"/>
    <w:rsid w:val="7EC23E83"/>
    <w:rsid w:val="7EF127D4"/>
    <w:rsid w:val="7F0C557C"/>
    <w:rsid w:val="7F16172A"/>
    <w:rsid w:val="7F190115"/>
    <w:rsid w:val="7F2026D1"/>
    <w:rsid w:val="7F221CF3"/>
    <w:rsid w:val="7F2C38B2"/>
    <w:rsid w:val="7F4D520C"/>
    <w:rsid w:val="7F870749"/>
    <w:rsid w:val="7F930804"/>
    <w:rsid w:val="7F993EE6"/>
    <w:rsid w:val="7FCD0EBD"/>
    <w:rsid w:val="7FD178C3"/>
    <w:rsid w:val="7FF16AF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79" w:lineRule="atLeast"/>
      <w:ind w:firstLine="20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45"/>
    <w:qFormat/>
    <w:uiPriority w:val="9"/>
    <w:pPr>
      <w:spacing w:line="700" w:lineRule="exact"/>
      <w:ind w:firstLine="0" w:firstLineChars="0"/>
      <w:jc w:val="center"/>
      <w:outlineLvl w:val="0"/>
    </w:pPr>
    <w:rPr>
      <w:rFonts w:eastAsia="方正小标宋简体"/>
      <w:bCs/>
      <w:kern w:val="44"/>
      <w:sz w:val="44"/>
      <w:szCs w:val="44"/>
    </w:rPr>
  </w:style>
  <w:style w:type="paragraph" w:styleId="4">
    <w:name w:val="heading 2"/>
    <w:basedOn w:val="1"/>
    <w:next w:val="1"/>
    <w:link w:val="46"/>
    <w:qFormat/>
    <w:uiPriority w:val="9"/>
    <w:pPr>
      <w:outlineLvl w:val="1"/>
    </w:pPr>
    <w:rPr>
      <w:rFonts w:eastAsia="黑体"/>
      <w:bCs/>
      <w:szCs w:val="32"/>
    </w:rPr>
  </w:style>
  <w:style w:type="paragraph" w:styleId="5">
    <w:name w:val="heading 3"/>
    <w:basedOn w:val="1"/>
    <w:next w:val="1"/>
    <w:link w:val="47"/>
    <w:qFormat/>
    <w:uiPriority w:val="0"/>
    <w:pPr>
      <w:outlineLvl w:val="2"/>
    </w:pPr>
    <w:rPr>
      <w:rFonts w:eastAsia="楷体_GB2312"/>
      <w:b/>
      <w:bCs/>
      <w:szCs w:val="32"/>
    </w:rPr>
  </w:style>
  <w:style w:type="paragraph" w:styleId="6">
    <w:name w:val="heading 4"/>
    <w:basedOn w:val="1"/>
    <w:next w:val="1"/>
    <w:link w:val="48"/>
    <w:qFormat/>
    <w:uiPriority w:val="9"/>
    <w:pPr>
      <w:outlineLvl w:val="3"/>
    </w:pPr>
    <w:rPr>
      <w:bCs/>
      <w:szCs w:val="28"/>
    </w:rPr>
  </w:style>
  <w:style w:type="paragraph" w:styleId="7">
    <w:name w:val="heading 5"/>
    <w:basedOn w:val="1"/>
    <w:next w:val="1"/>
    <w:link w:val="49"/>
    <w:qFormat/>
    <w:uiPriority w:val="0"/>
    <w:pPr>
      <w:keepNext/>
      <w:keepLines/>
      <w:adjustRightInd/>
      <w:snapToGrid/>
      <w:spacing w:before="280" w:after="290" w:line="376" w:lineRule="auto"/>
      <w:outlineLvl w:val="4"/>
    </w:pPr>
    <w:rPr>
      <w:rFonts w:ascii="Calibri" w:hAnsi="Calibri" w:eastAsia="宋体"/>
      <w:b/>
      <w:bCs/>
      <w:sz w:val="28"/>
      <w:szCs w:val="28"/>
    </w:rPr>
  </w:style>
  <w:style w:type="character" w:default="1" w:styleId="39">
    <w:name w:val="Default Paragraph Font"/>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6"/>
    <w:qFormat/>
    <w:uiPriority w:val="99"/>
    <w:pPr>
      <w:spacing w:after="120"/>
    </w:pPr>
  </w:style>
  <w:style w:type="paragraph" w:styleId="8">
    <w:name w:val="toc 7"/>
    <w:basedOn w:val="1"/>
    <w:next w:val="1"/>
    <w:qFormat/>
    <w:uiPriority w:val="0"/>
    <w:pPr>
      <w:adjustRightInd/>
      <w:snapToGrid/>
      <w:spacing w:line="360" w:lineRule="auto"/>
      <w:ind w:left="1440"/>
      <w:jc w:val="left"/>
    </w:pPr>
    <w:rPr>
      <w:rFonts w:ascii="Calibri" w:hAnsi="Calibri" w:eastAsia="宋体" w:cs="Calibri"/>
      <w:sz w:val="18"/>
      <w:szCs w:val="18"/>
    </w:rPr>
  </w:style>
  <w:style w:type="paragraph" w:styleId="9">
    <w:name w:val="Normal Indent"/>
    <w:basedOn w:val="1"/>
    <w:qFormat/>
    <w:uiPriority w:val="0"/>
    <w:pPr>
      <w:adjustRightInd/>
      <w:snapToGrid/>
      <w:spacing w:line="500" w:lineRule="exact"/>
    </w:pPr>
    <w:rPr>
      <w:rFonts w:eastAsia="仿宋"/>
      <w:sz w:val="28"/>
      <w:szCs w:val="20"/>
    </w:rPr>
  </w:style>
  <w:style w:type="paragraph" w:styleId="10">
    <w:name w:val="caption"/>
    <w:basedOn w:val="1"/>
    <w:next w:val="1"/>
    <w:qFormat/>
    <w:uiPriority w:val="0"/>
    <w:pPr>
      <w:adjustRightInd/>
      <w:snapToGrid/>
      <w:spacing w:line="360" w:lineRule="auto"/>
      <w:ind w:firstLine="0" w:firstLineChars="0"/>
      <w:jc w:val="center"/>
    </w:pPr>
    <w:rPr>
      <w:rFonts w:ascii="Cambria" w:hAnsi="Cambria" w:eastAsia="黑体"/>
      <w:sz w:val="20"/>
      <w:szCs w:val="20"/>
    </w:rPr>
  </w:style>
  <w:style w:type="paragraph" w:styleId="11">
    <w:name w:val="Document Map"/>
    <w:basedOn w:val="1"/>
    <w:link w:val="59"/>
    <w:qFormat/>
    <w:uiPriority w:val="0"/>
    <w:pPr>
      <w:adjustRightInd/>
      <w:snapToGrid/>
      <w:spacing w:line="360" w:lineRule="auto"/>
    </w:pPr>
    <w:rPr>
      <w:rFonts w:ascii="宋体" w:hAnsi="Calibri" w:eastAsia="宋体"/>
      <w:sz w:val="18"/>
      <w:szCs w:val="18"/>
    </w:rPr>
  </w:style>
  <w:style w:type="paragraph" w:styleId="12">
    <w:name w:val="annotation text"/>
    <w:basedOn w:val="1"/>
    <w:link w:val="90"/>
    <w:unhideWhenUsed/>
    <w:qFormat/>
    <w:uiPriority w:val="99"/>
    <w:pPr>
      <w:adjustRightInd/>
      <w:snapToGrid/>
      <w:spacing w:line="600" w:lineRule="exact"/>
      <w:jc w:val="left"/>
    </w:pPr>
    <w:rPr>
      <w:rFonts w:eastAsia="仿宋"/>
      <w:kern w:val="0"/>
      <w:szCs w:val="20"/>
    </w:rPr>
  </w:style>
  <w:style w:type="paragraph" w:styleId="13">
    <w:name w:val="Body Text 3"/>
    <w:basedOn w:val="1"/>
    <w:qFormat/>
    <w:uiPriority w:val="0"/>
    <w:pPr>
      <w:spacing w:after="120"/>
    </w:pPr>
    <w:rPr>
      <w:sz w:val="16"/>
      <w:szCs w:val="16"/>
    </w:rPr>
  </w:style>
  <w:style w:type="paragraph" w:styleId="14">
    <w:name w:val="Body Text Indent"/>
    <w:basedOn w:val="1"/>
    <w:link w:val="88"/>
    <w:qFormat/>
    <w:uiPriority w:val="0"/>
    <w:pPr>
      <w:spacing w:after="120"/>
      <w:ind w:left="420" w:leftChars="200"/>
    </w:pPr>
  </w:style>
  <w:style w:type="paragraph" w:styleId="15">
    <w:name w:val="toc 5"/>
    <w:basedOn w:val="1"/>
    <w:next w:val="1"/>
    <w:qFormat/>
    <w:uiPriority w:val="0"/>
    <w:pPr>
      <w:adjustRightInd/>
      <w:snapToGrid/>
      <w:spacing w:line="360" w:lineRule="auto"/>
      <w:ind w:left="960"/>
      <w:jc w:val="left"/>
    </w:pPr>
    <w:rPr>
      <w:rFonts w:ascii="Calibri" w:hAnsi="Calibri" w:eastAsia="宋体" w:cs="Calibri"/>
      <w:sz w:val="18"/>
      <w:szCs w:val="18"/>
    </w:rPr>
  </w:style>
  <w:style w:type="paragraph" w:styleId="16">
    <w:name w:val="toc 3"/>
    <w:basedOn w:val="1"/>
    <w:next w:val="1"/>
    <w:qFormat/>
    <w:uiPriority w:val="0"/>
    <w:pPr>
      <w:adjustRightInd/>
      <w:snapToGrid/>
      <w:spacing w:line="360" w:lineRule="auto"/>
      <w:ind w:left="480"/>
      <w:jc w:val="left"/>
    </w:pPr>
    <w:rPr>
      <w:rFonts w:ascii="Calibri" w:hAnsi="Calibri" w:eastAsia="宋体" w:cs="Calibri"/>
      <w:i/>
      <w:iCs/>
      <w:sz w:val="20"/>
      <w:szCs w:val="20"/>
    </w:rPr>
  </w:style>
  <w:style w:type="paragraph" w:styleId="17">
    <w:name w:val="Plain Text"/>
    <w:basedOn w:val="1"/>
    <w:link w:val="83"/>
    <w:qFormat/>
    <w:uiPriority w:val="0"/>
    <w:pPr>
      <w:adjustRightInd/>
      <w:snapToGrid/>
      <w:spacing w:line="240" w:lineRule="auto"/>
      <w:ind w:firstLine="0" w:firstLineChars="0"/>
    </w:pPr>
    <w:rPr>
      <w:rFonts w:ascii="宋体" w:hAnsi="Courier New" w:eastAsia="宋体"/>
      <w:kern w:val="0"/>
      <w:sz w:val="20"/>
      <w:szCs w:val="21"/>
    </w:rPr>
  </w:style>
  <w:style w:type="paragraph" w:styleId="18">
    <w:name w:val="toc 8"/>
    <w:basedOn w:val="1"/>
    <w:next w:val="1"/>
    <w:qFormat/>
    <w:uiPriority w:val="0"/>
    <w:pPr>
      <w:adjustRightInd/>
      <w:snapToGrid/>
      <w:spacing w:line="360" w:lineRule="auto"/>
      <w:ind w:left="1680"/>
      <w:jc w:val="left"/>
    </w:pPr>
    <w:rPr>
      <w:rFonts w:ascii="Calibri" w:hAnsi="Calibri" w:eastAsia="宋体" w:cs="Calibri"/>
      <w:sz w:val="18"/>
      <w:szCs w:val="18"/>
    </w:rPr>
  </w:style>
  <w:style w:type="paragraph" w:styleId="19">
    <w:name w:val="Date"/>
    <w:basedOn w:val="1"/>
    <w:next w:val="1"/>
    <w:qFormat/>
    <w:uiPriority w:val="0"/>
    <w:pPr>
      <w:ind w:left="100" w:leftChars="2500"/>
    </w:pPr>
  </w:style>
  <w:style w:type="paragraph" w:styleId="20">
    <w:name w:val="Balloon Text"/>
    <w:basedOn w:val="1"/>
    <w:link w:val="67"/>
    <w:qFormat/>
    <w:uiPriority w:val="99"/>
    <w:pPr>
      <w:adjustRightInd/>
      <w:snapToGrid/>
      <w:spacing w:line="240" w:lineRule="auto"/>
    </w:pPr>
    <w:rPr>
      <w:rFonts w:ascii="Calibri" w:hAnsi="Calibri" w:eastAsia="Times New Roman"/>
      <w:kern w:val="0"/>
      <w:sz w:val="18"/>
      <w:szCs w:val="18"/>
    </w:rPr>
  </w:style>
  <w:style w:type="paragraph" w:styleId="21">
    <w:name w:val="footer"/>
    <w:basedOn w:val="1"/>
    <w:link w:val="50"/>
    <w:qFormat/>
    <w:uiPriority w:val="0"/>
    <w:pPr>
      <w:tabs>
        <w:tab w:val="center" w:pos="4153"/>
        <w:tab w:val="right" w:pos="8306"/>
      </w:tabs>
      <w:spacing w:line="240" w:lineRule="atLeast"/>
      <w:jc w:val="left"/>
    </w:pPr>
    <w:rPr>
      <w:sz w:val="18"/>
      <w:szCs w:val="18"/>
    </w:rPr>
  </w:style>
  <w:style w:type="paragraph" w:styleId="22">
    <w:name w:val="header"/>
    <w:basedOn w:val="1"/>
    <w:link w:val="51"/>
    <w:qFormat/>
    <w:uiPriority w:val="99"/>
    <w:pPr>
      <w:pBdr>
        <w:bottom w:val="single" w:color="auto" w:sz="6" w:space="1"/>
      </w:pBdr>
      <w:tabs>
        <w:tab w:val="center" w:pos="4153"/>
        <w:tab w:val="right" w:pos="8306"/>
      </w:tabs>
      <w:spacing w:line="240" w:lineRule="atLeast"/>
      <w:jc w:val="center"/>
    </w:pPr>
    <w:rPr>
      <w:sz w:val="18"/>
      <w:szCs w:val="18"/>
    </w:rPr>
  </w:style>
  <w:style w:type="paragraph" w:styleId="23">
    <w:name w:val="toc 1"/>
    <w:basedOn w:val="1"/>
    <w:next w:val="1"/>
    <w:qFormat/>
    <w:uiPriority w:val="0"/>
    <w:pPr>
      <w:adjustRightInd/>
      <w:snapToGrid/>
      <w:spacing w:before="120" w:after="120" w:line="360" w:lineRule="auto"/>
      <w:jc w:val="left"/>
    </w:pPr>
    <w:rPr>
      <w:rFonts w:ascii="Calibri" w:hAnsi="Calibri" w:eastAsia="宋体" w:cs="Calibri"/>
      <w:b/>
      <w:bCs/>
      <w:caps/>
      <w:sz w:val="20"/>
      <w:szCs w:val="20"/>
    </w:rPr>
  </w:style>
  <w:style w:type="paragraph" w:styleId="24">
    <w:name w:val="toc 4"/>
    <w:basedOn w:val="1"/>
    <w:next w:val="1"/>
    <w:qFormat/>
    <w:uiPriority w:val="0"/>
    <w:pPr>
      <w:adjustRightInd/>
      <w:snapToGrid/>
      <w:spacing w:line="360" w:lineRule="auto"/>
      <w:ind w:left="720"/>
      <w:jc w:val="left"/>
    </w:pPr>
    <w:rPr>
      <w:rFonts w:ascii="Calibri" w:hAnsi="Calibri" w:eastAsia="宋体" w:cs="Calibri"/>
      <w:sz w:val="18"/>
      <w:szCs w:val="18"/>
    </w:rPr>
  </w:style>
  <w:style w:type="paragraph" w:styleId="25">
    <w:name w:val="Subtitle"/>
    <w:next w:val="1"/>
    <w:link w:val="91"/>
    <w:qFormat/>
    <w:uiPriority w:val="0"/>
    <w:pPr>
      <w:spacing w:line="580" w:lineRule="exact"/>
      <w:jc w:val="center"/>
      <w:outlineLvl w:val="0"/>
    </w:pPr>
    <w:rPr>
      <w:rFonts w:ascii="宋体" w:hAnsi="Cambria" w:eastAsia="宋体" w:cs="Times New Roman"/>
      <w:b/>
      <w:bCs/>
      <w:kern w:val="28"/>
      <w:sz w:val="44"/>
      <w:szCs w:val="32"/>
      <w:lang w:val="en-US" w:eastAsia="zh-CN" w:bidi="ar-SA"/>
    </w:rPr>
  </w:style>
  <w:style w:type="paragraph" w:styleId="26">
    <w:name w:val="toc 6"/>
    <w:basedOn w:val="1"/>
    <w:next w:val="1"/>
    <w:qFormat/>
    <w:uiPriority w:val="0"/>
    <w:pPr>
      <w:adjustRightInd/>
      <w:snapToGrid/>
      <w:spacing w:line="360" w:lineRule="auto"/>
      <w:ind w:left="1200"/>
      <w:jc w:val="left"/>
    </w:pPr>
    <w:rPr>
      <w:rFonts w:ascii="Calibri" w:hAnsi="Calibri" w:eastAsia="宋体" w:cs="Calibri"/>
      <w:sz w:val="18"/>
      <w:szCs w:val="18"/>
    </w:rPr>
  </w:style>
  <w:style w:type="paragraph" w:styleId="27">
    <w:name w:val="table of figures"/>
    <w:basedOn w:val="1"/>
    <w:next w:val="1"/>
    <w:qFormat/>
    <w:uiPriority w:val="0"/>
    <w:pPr>
      <w:adjustRightInd/>
      <w:snapToGrid/>
      <w:spacing w:line="360" w:lineRule="auto"/>
      <w:ind w:left="480" w:hanging="480"/>
      <w:jc w:val="left"/>
    </w:pPr>
    <w:rPr>
      <w:rFonts w:ascii="Calibri" w:hAnsi="Calibri" w:eastAsia="宋体"/>
      <w:smallCaps/>
      <w:sz w:val="20"/>
      <w:szCs w:val="20"/>
    </w:rPr>
  </w:style>
  <w:style w:type="paragraph" w:styleId="28">
    <w:name w:val="toc 2"/>
    <w:basedOn w:val="1"/>
    <w:next w:val="1"/>
    <w:qFormat/>
    <w:uiPriority w:val="0"/>
    <w:pPr>
      <w:adjustRightInd/>
      <w:snapToGrid/>
      <w:spacing w:line="360" w:lineRule="auto"/>
      <w:ind w:left="240"/>
      <w:jc w:val="left"/>
    </w:pPr>
    <w:rPr>
      <w:rFonts w:ascii="Calibri" w:hAnsi="Calibri" w:eastAsia="宋体" w:cs="Calibri"/>
      <w:smallCaps/>
      <w:sz w:val="20"/>
      <w:szCs w:val="20"/>
    </w:rPr>
  </w:style>
  <w:style w:type="paragraph" w:styleId="29">
    <w:name w:val="toc 9"/>
    <w:basedOn w:val="1"/>
    <w:next w:val="1"/>
    <w:qFormat/>
    <w:uiPriority w:val="0"/>
    <w:pPr>
      <w:adjustRightInd/>
      <w:snapToGrid/>
      <w:spacing w:line="360" w:lineRule="auto"/>
      <w:ind w:left="1920"/>
      <w:jc w:val="left"/>
    </w:pPr>
    <w:rPr>
      <w:rFonts w:ascii="Calibri" w:hAnsi="Calibri" w:eastAsia="宋体" w:cs="Calibri"/>
      <w:sz w:val="18"/>
      <w:szCs w:val="18"/>
    </w:rPr>
  </w:style>
  <w:style w:type="paragraph" w:styleId="30">
    <w:name w:val="Body Text 2"/>
    <w:basedOn w:val="1"/>
    <w:link w:val="92"/>
    <w:qFormat/>
    <w:uiPriority w:val="99"/>
    <w:pPr>
      <w:adjustRightInd/>
      <w:snapToGrid/>
      <w:spacing w:line="600" w:lineRule="exact"/>
    </w:pPr>
    <w:rPr>
      <w:rFonts w:eastAsia="仿宋"/>
      <w:szCs w:val="22"/>
    </w:rPr>
  </w:style>
  <w:style w:type="paragraph" w:styleId="31">
    <w:name w:val="HTML Preformatted"/>
    <w:basedOn w:val="1"/>
    <w:link w:val="77"/>
    <w:qFormat/>
    <w:uiPriority w:val="0"/>
    <w:pPr>
      <w:adjustRightInd/>
      <w:snapToGrid/>
      <w:spacing w:line="360" w:lineRule="auto"/>
    </w:pPr>
    <w:rPr>
      <w:rFonts w:ascii="Courier New" w:hAnsi="Courier New" w:eastAsia="宋体"/>
      <w:kern w:val="0"/>
      <w:sz w:val="20"/>
      <w:szCs w:val="20"/>
    </w:rPr>
  </w:style>
  <w:style w:type="paragraph" w:styleId="32">
    <w:name w:val="Normal (Web)"/>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24"/>
    </w:rPr>
  </w:style>
  <w:style w:type="paragraph" w:styleId="33">
    <w:name w:val="Title"/>
    <w:basedOn w:val="1"/>
    <w:next w:val="1"/>
    <w:link w:val="93"/>
    <w:qFormat/>
    <w:uiPriority w:val="10"/>
    <w:pPr>
      <w:adjustRightInd/>
      <w:snapToGrid/>
      <w:spacing w:line="600" w:lineRule="exact"/>
      <w:ind w:firstLine="0" w:firstLineChars="0"/>
      <w:jc w:val="center"/>
      <w:outlineLvl w:val="0"/>
    </w:pPr>
    <w:rPr>
      <w:rFonts w:ascii="Cambria" w:hAnsi="Cambria" w:eastAsia="宋体"/>
      <w:b/>
      <w:bCs/>
      <w:kern w:val="0"/>
      <w:sz w:val="36"/>
      <w:szCs w:val="32"/>
    </w:rPr>
  </w:style>
  <w:style w:type="paragraph" w:styleId="34">
    <w:name w:val="annotation subject"/>
    <w:basedOn w:val="12"/>
    <w:next w:val="12"/>
    <w:link w:val="94"/>
    <w:unhideWhenUsed/>
    <w:qFormat/>
    <w:uiPriority w:val="99"/>
    <w:rPr>
      <w:rFonts w:eastAsia="宋体"/>
      <w:b/>
      <w:bCs/>
      <w:sz w:val="20"/>
    </w:rPr>
  </w:style>
  <w:style w:type="paragraph" w:styleId="35">
    <w:name w:val="Body Text First Indent"/>
    <w:basedOn w:val="2"/>
    <w:link w:val="87"/>
    <w:qFormat/>
    <w:uiPriority w:val="0"/>
    <w:pPr>
      <w:ind w:firstLine="420" w:firstLineChars="100"/>
    </w:pPr>
  </w:style>
  <w:style w:type="paragraph" w:styleId="36">
    <w:name w:val="Body Text First Indent 2"/>
    <w:basedOn w:val="14"/>
    <w:link w:val="89"/>
    <w:qFormat/>
    <w:uiPriority w:val="0"/>
    <w:pPr>
      <w:ind w:firstLine="420"/>
    </w:pPr>
  </w:style>
  <w:style w:type="table" w:styleId="38">
    <w:name w:val="Table Grid"/>
    <w:basedOn w:val="37"/>
    <w:qFormat/>
    <w:uiPriority w:val="0"/>
    <w:pPr>
      <w:widowControl w:val="0"/>
      <w:adjustRightInd w:val="0"/>
      <w:snapToGrid w:val="0"/>
      <w:spacing w:line="590" w:lineRule="atLeas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rFonts w:cs="Times New Roman"/>
      <w:b/>
      <w:bCs/>
    </w:rPr>
  </w:style>
  <w:style w:type="character" w:styleId="41">
    <w:name w:val="page number"/>
    <w:basedOn w:val="39"/>
    <w:qFormat/>
    <w:uiPriority w:val="0"/>
  </w:style>
  <w:style w:type="character" w:styleId="42">
    <w:name w:val="Emphasis"/>
    <w:basedOn w:val="39"/>
    <w:qFormat/>
    <w:uiPriority w:val="0"/>
    <w:rPr>
      <w:rFonts w:cs="Times New Roman"/>
      <w:i/>
      <w:iCs/>
    </w:rPr>
  </w:style>
  <w:style w:type="character" w:styleId="43">
    <w:name w:val="Hyperlink"/>
    <w:unhideWhenUsed/>
    <w:qFormat/>
    <w:uiPriority w:val="0"/>
    <w:rPr>
      <w:color w:val="0000FF"/>
      <w:u w:val="single"/>
    </w:rPr>
  </w:style>
  <w:style w:type="character" w:styleId="44">
    <w:name w:val="annotation reference"/>
    <w:unhideWhenUsed/>
    <w:qFormat/>
    <w:uiPriority w:val="99"/>
    <w:rPr>
      <w:sz w:val="21"/>
      <w:szCs w:val="21"/>
    </w:rPr>
  </w:style>
  <w:style w:type="character" w:customStyle="1" w:styleId="45">
    <w:name w:val="标题 1 Char"/>
    <w:basedOn w:val="39"/>
    <w:link w:val="3"/>
    <w:qFormat/>
    <w:locked/>
    <w:uiPriority w:val="9"/>
    <w:rPr>
      <w:rFonts w:eastAsia="方正小标宋简体"/>
      <w:bCs/>
      <w:kern w:val="44"/>
      <w:sz w:val="44"/>
      <w:szCs w:val="44"/>
    </w:rPr>
  </w:style>
  <w:style w:type="character" w:customStyle="1" w:styleId="46">
    <w:name w:val="标题 2 Char"/>
    <w:basedOn w:val="39"/>
    <w:link w:val="4"/>
    <w:qFormat/>
    <w:uiPriority w:val="9"/>
    <w:rPr>
      <w:rFonts w:eastAsia="黑体"/>
      <w:bCs/>
      <w:kern w:val="2"/>
      <w:sz w:val="32"/>
      <w:szCs w:val="32"/>
    </w:rPr>
  </w:style>
  <w:style w:type="character" w:customStyle="1" w:styleId="47">
    <w:name w:val="标题 3 Char"/>
    <w:basedOn w:val="39"/>
    <w:link w:val="5"/>
    <w:qFormat/>
    <w:uiPriority w:val="0"/>
    <w:rPr>
      <w:rFonts w:eastAsia="楷体_GB2312"/>
      <w:b/>
      <w:bCs/>
      <w:kern w:val="2"/>
      <w:sz w:val="32"/>
      <w:szCs w:val="32"/>
    </w:rPr>
  </w:style>
  <w:style w:type="character" w:customStyle="1" w:styleId="48">
    <w:name w:val="标题 4 Char1"/>
    <w:basedOn w:val="39"/>
    <w:link w:val="6"/>
    <w:qFormat/>
    <w:locked/>
    <w:uiPriority w:val="0"/>
    <w:rPr>
      <w:rFonts w:eastAsia="仿宋_GB2312"/>
      <w:bCs/>
      <w:kern w:val="2"/>
      <w:sz w:val="32"/>
      <w:szCs w:val="28"/>
      <w:lang w:val="en-US" w:eastAsia="zh-CN" w:bidi="ar-SA"/>
    </w:rPr>
  </w:style>
  <w:style w:type="character" w:customStyle="1" w:styleId="49">
    <w:name w:val="标题 5 Char"/>
    <w:basedOn w:val="39"/>
    <w:link w:val="7"/>
    <w:qFormat/>
    <w:locked/>
    <w:uiPriority w:val="0"/>
    <w:rPr>
      <w:rFonts w:ascii="Calibri" w:hAnsi="Calibri" w:eastAsia="宋体"/>
      <w:b/>
      <w:bCs/>
      <w:kern w:val="2"/>
      <w:sz w:val="28"/>
      <w:szCs w:val="28"/>
      <w:lang w:val="en-US" w:eastAsia="zh-CN" w:bidi="ar-SA"/>
    </w:rPr>
  </w:style>
  <w:style w:type="character" w:customStyle="1" w:styleId="50">
    <w:name w:val="页脚 Char"/>
    <w:basedOn w:val="39"/>
    <w:link w:val="21"/>
    <w:qFormat/>
    <w:locked/>
    <w:uiPriority w:val="0"/>
    <w:rPr>
      <w:rFonts w:eastAsia="仿宋_GB2312"/>
      <w:kern w:val="2"/>
      <w:sz w:val="18"/>
      <w:szCs w:val="18"/>
      <w:lang w:val="en-US" w:eastAsia="zh-CN" w:bidi="ar-SA"/>
    </w:rPr>
  </w:style>
  <w:style w:type="character" w:customStyle="1" w:styleId="51">
    <w:name w:val="页眉 Char"/>
    <w:basedOn w:val="39"/>
    <w:link w:val="22"/>
    <w:qFormat/>
    <w:locked/>
    <w:uiPriority w:val="99"/>
    <w:rPr>
      <w:rFonts w:eastAsia="仿宋_GB2312"/>
      <w:kern w:val="2"/>
      <w:sz w:val="18"/>
      <w:szCs w:val="18"/>
      <w:lang w:val="en-US" w:eastAsia="zh-CN" w:bidi="ar-SA"/>
    </w:rPr>
  </w:style>
  <w:style w:type="paragraph" w:customStyle="1" w:styleId="52">
    <w:name w:val="表头"/>
    <w:basedOn w:val="1"/>
    <w:qFormat/>
    <w:uiPriority w:val="0"/>
    <w:pPr>
      <w:spacing w:before="80" w:after="80" w:line="280" w:lineRule="atLeast"/>
      <w:ind w:firstLine="0" w:firstLineChars="0"/>
      <w:jc w:val="center"/>
    </w:pPr>
    <w:rPr>
      <w:rFonts w:eastAsia="黑体" w:cs="宋体"/>
      <w:sz w:val="24"/>
    </w:rPr>
  </w:style>
  <w:style w:type="paragraph" w:customStyle="1" w:styleId="53">
    <w:name w:val="表内文字"/>
    <w:basedOn w:val="1"/>
    <w:qFormat/>
    <w:uiPriority w:val="0"/>
    <w:pPr>
      <w:spacing w:before="60" w:after="60" w:line="280" w:lineRule="atLeast"/>
      <w:ind w:firstLine="0" w:firstLineChars="0"/>
    </w:pPr>
    <w:rPr>
      <w:sz w:val="24"/>
    </w:rPr>
  </w:style>
  <w:style w:type="paragraph" w:customStyle="1" w:styleId="54">
    <w:name w:val="p0"/>
    <w:basedOn w:val="1"/>
    <w:qFormat/>
    <w:uiPriority w:val="0"/>
    <w:pPr>
      <w:widowControl/>
      <w:adjustRightInd/>
      <w:snapToGrid/>
      <w:spacing w:line="240" w:lineRule="auto"/>
      <w:ind w:firstLine="0" w:firstLineChars="0"/>
    </w:pPr>
    <w:rPr>
      <w:rFonts w:ascii="Calibri" w:hAnsi="Calibri" w:eastAsia="宋体" w:cs="宋体"/>
      <w:kern w:val="0"/>
      <w:sz w:val="21"/>
      <w:szCs w:val="21"/>
    </w:rPr>
  </w:style>
  <w:style w:type="paragraph" w:customStyle="1" w:styleId="55">
    <w:name w:val="Char Char Char Char Char Char Char Char Char"/>
    <w:basedOn w:val="1"/>
    <w:qFormat/>
    <w:uiPriority w:val="0"/>
    <w:pPr>
      <w:widowControl/>
      <w:adjustRightInd/>
      <w:snapToGrid/>
      <w:spacing w:after="160" w:line="240" w:lineRule="exact"/>
      <w:ind w:firstLine="0" w:firstLineChars="0"/>
      <w:jc w:val="left"/>
    </w:pPr>
    <w:rPr>
      <w:rFonts w:eastAsia="宋体"/>
      <w:sz w:val="21"/>
      <w:szCs w:val="20"/>
    </w:rPr>
  </w:style>
  <w:style w:type="character" w:customStyle="1" w:styleId="56">
    <w:name w:val="Heading 2 Char"/>
    <w:basedOn w:val="39"/>
    <w:qFormat/>
    <w:locked/>
    <w:uiPriority w:val="0"/>
    <w:rPr>
      <w:rFonts w:ascii="Times New Roman" w:hAnsi="Times New Roman" w:eastAsia="宋体" w:cs="Times New Roman"/>
      <w:b/>
      <w:bCs/>
      <w:sz w:val="32"/>
      <w:szCs w:val="32"/>
    </w:rPr>
  </w:style>
  <w:style w:type="character" w:customStyle="1" w:styleId="57">
    <w:name w:val="Heading 3 Char"/>
    <w:basedOn w:val="39"/>
    <w:qFormat/>
    <w:locked/>
    <w:uiPriority w:val="0"/>
    <w:rPr>
      <w:rFonts w:ascii="Times New Roman" w:hAnsi="Times New Roman" w:eastAsia="宋体" w:cs="Times New Roman"/>
      <w:b/>
      <w:bCs/>
      <w:sz w:val="32"/>
      <w:szCs w:val="32"/>
    </w:rPr>
  </w:style>
  <w:style w:type="paragraph" w:customStyle="1" w:styleId="58">
    <w:name w:val="无间隔1"/>
    <w:qFormat/>
    <w:uiPriority w:val="0"/>
    <w:pPr>
      <w:widowControl w:val="0"/>
      <w:spacing w:line="276" w:lineRule="auto"/>
      <w:jc w:val="center"/>
    </w:pPr>
    <w:rPr>
      <w:rFonts w:ascii="Times New Roman" w:hAnsi="Times New Roman" w:eastAsia="宋体" w:cs="Times New Roman"/>
      <w:kern w:val="2"/>
      <w:sz w:val="21"/>
      <w:szCs w:val="22"/>
      <w:lang w:val="en-US" w:eastAsia="zh-CN" w:bidi="ar-SA"/>
    </w:rPr>
  </w:style>
  <w:style w:type="character" w:customStyle="1" w:styleId="59">
    <w:name w:val="文档结构图 Char"/>
    <w:basedOn w:val="39"/>
    <w:link w:val="11"/>
    <w:qFormat/>
    <w:locked/>
    <w:uiPriority w:val="0"/>
    <w:rPr>
      <w:rFonts w:ascii="宋体" w:hAnsi="Calibri" w:eastAsia="宋体"/>
      <w:kern w:val="2"/>
      <w:sz w:val="18"/>
      <w:szCs w:val="18"/>
      <w:lang w:val="en-US" w:eastAsia="zh-CN" w:bidi="ar-SA"/>
    </w:rPr>
  </w:style>
  <w:style w:type="character" w:customStyle="1" w:styleId="60">
    <w:name w:val="Body text_"/>
    <w:basedOn w:val="39"/>
    <w:link w:val="61"/>
    <w:qFormat/>
    <w:locked/>
    <w:uiPriority w:val="0"/>
    <w:rPr>
      <w:rFonts w:ascii="宋体" w:hAnsi="宋体"/>
      <w:spacing w:val="30"/>
      <w:sz w:val="28"/>
      <w:szCs w:val="28"/>
      <w:shd w:val="clear" w:color="auto" w:fill="FFFFFF"/>
      <w:lang w:bidi="ar-SA"/>
    </w:rPr>
  </w:style>
  <w:style w:type="paragraph" w:customStyle="1" w:styleId="61">
    <w:name w:val="Body text"/>
    <w:basedOn w:val="1"/>
    <w:link w:val="60"/>
    <w:qFormat/>
    <w:uiPriority w:val="0"/>
    <w:pPr>
      <w:shd w:val="clear" w:color="auto" w:fill="FFFFFF"/>
      <w:adjustRightInd/>
      <w:snapToGrid/>
      <w:spacing w:line="542" w:lineRule="exact"/>
      <w:ind w:hanging="1160" w:firstLineChars="0"/>
      <w:jc w:val="left"/>
    </w:pPr>
    <w:rPr>
      <w:rFonts w:ascii="宋体" w:hAnsi="宋体" w:eastAsia="Times New Roman"/>
      <w:spacing w:val="30"/>
      <w:kern w:val="0"/>
      <w:sz w:val="28"/>
      <w:szCs w:val="28"/>
      <w:shd w:val="clear" w:color="auto" w:fill="FFFFFF"/>
    </w:rPr>
  </w:style>
  <w:style w:type="character" w:customStyle="1" w:styleId="62">
    <w:name w:val="Body text + 11.5 pt"/>
    <w:basedOn w:val="60"/>
    <w:uiPriority w:val="0"/>
    <w:rPr>
      <w:b/>
      <w:bCs/>
      <w:color w:val="000000"/>
      <w:spacing w:val="0"/>
      <w:w w:val="100"/>
      <w:position w:val="0"/>
      <w:sz w:val="23"/>
      <w:szCs w:val="23"/>
      <w:lang w:val="zh-TW"/>
    </w:rPr>
  </w:style>
  <w:style w:type="character" w:customStyle="1" w:styleId="63">
    <w:name w:val="Char Char"/>
    <w:basedOn w:val="39"/>
    <w:qFormat/>
    <w:uiPriority w:val="0"/>
    <w:rPr>
      <w:rFonts w:ascii="宋体" w:hAnsi="Courier New" w:eastAsia="宋体" w:cs="Times New Roman"/>
      <w:kern w:val="2"/>
      <w:sz w:val="21"/>
      <w:lang w:val="en-US" w:eastAsia="zh-CN"/>
    </w:rPr>
  </w:style>
  <w:style w:type="character" w:customStyle="1" w:styleId="64">
    <w:name w:val="font01"/>
    <w:basedOn w:val="39"/>
    <w:qFormat/>
    <w:uiPriority w:val="0"/>
    <w:rPr>
      <w:rFonts w:ascii="宋体" w:hAnsi="宋体" w:eastAsia="宋体" w:cs="宋体"/>
      <w:color w:val="000000"/>
      <w:sz w:val="22"/>
      <w:szCs w:val="22"/>
      <w:u w:val="none"/>
    </w:rPr>
  </w:style>
  <w:style w:type="character" w:customStyle="1" w:styleId="65">
    <w:name w:val="font21"/>
    <w:basedOn w:val="39"/>
    <w:qFormat/>
    <w:uiPriority w:val="0"/>
    <w:rPr>
      <w:rFonts w:ascii="Times New Roman" w:hAnsi="Times New Roman" w:cs="Times New Roman"/>
      <w:color w:val="000000"/>
      <w:sz w:val="27"/>
      <w:szCs w:val="27"/>
      <w:u w:val="none"/>
      <w:vertAlign w:val="subscript"/>
    </w:rPr>
  </w:style>
  <w:style w:type="character" w:customStyle="1" w:styleId="66">
    <w:name w:val="font11"/>
    <w:basedOn w:val="39"/>
    <w:qFormat/>
    <w:uiPriority w:val="0"/>
    <w:rPr>
      <w:rFonts w:ascii="宋体" w:hAnsi="宋体" w:eastAsia="宋体" w:cs="宋体"/>
      <w:color w:val="000000"/>
      <w:sz w:val="24"/>
      <w:szCs w:val="24"/>
      <w:u w:val="none"/>
    </w:rPr>
  </w:style>
  <w:style w:type="character" w:customStyle="1" w:styleId="67">
    <w:name w:val="批注框文本 Char"/>
    <w:basedOn w:val="39"/>
    <w:link w:val="20"/>
    <w:qFormat/>
    <w:locked/>
    <w:uiPriority w:val="99"/>
    <w:rPr>
      <w:rFonts w:ascii="Calibri" w:hAnsi="Calibri"/>
      <w:sz w:val="18"/>
      <w:szCs w:val="18"/>
      <w:lang w:bidi="ar-SA"/>
    </w:rPr>
  </w:style>
  <w:style w:type="character" w:customStyle="1" w:styleId="68">
    <w:name w:val="apple-converted-space"/>
    <w:basedOn w:val="39"/>
    <w:qFormat/>
    <w:uiPriority w:val="0"/>
    <w:rPr>
      <w:rFonts w:cs="Times New Roman"/>
    </w:rPr>
  </w:style>
  <w:style w:type="paragraph" w:customStyle="1" w:styleId="69">
    <w:name w:val="列出段落1"/>
    <w:basedOn w:val="1"/>
    <w:qFormat/>
    <w:uiPriority w:val="0"/>
    <w:pPr>
      <w:adjustRightInd/>
      <w:snapToGrid/>
      <w:spacing w:line="360" w:lineRule="auto"/>
      <w:ind w:firstLine="420"/>
    </w:pPr>
    <w:rPr>
      <w:rFonts w:ascii="Calibri" w:hAnsi="Calibri" w:eastAsia="宋体"/>
      <w:sz w:val="24"/>
    </w:rPr>
  </w:style>
  <w:style w:type="paragraph" w:customStyle="1" w:styleId="70">
    <w:name w:val="TOC 标题1"/>
    <w:basedOn w:val="3"/>
    <w:next w:val="1"/>
    <w:qFormat/>
    <w:uiPriority w:val="0"/>
    <w:pPr>
      <w:widowControl/>
      <w:adjustRightInd/>
      <w:snapToGrid/>
      <w:spacing w:before="480" w:after="340" w:line="276" w:lineRule="auto"/>
      <w:jc w:val="left"/>
      <w:outlineLvl w:val="9"/>
    </w:pPr>
    <w:rPr>
      <w:rFonts w:ascii="Cambria" w:hAnsi="Cambria" w:eastAsia="宋体"/>
      <w:b/>
      <w:color w:val="366091"/>
      <w:kern w:val="0"/>
      <w:sz w:val="28"/>
      <w:szCs w:val="28"/>
    </w:rPr>
  </w:style>
  <w:style w:type="paragraph" w:customStyle="1" w:styleId="71">
    <w:name w:val="表格内容样式"/>
    <w:basedOn w:val="1"/>
    <w:qFormat/>
    <w:uiPriority w:val="0"/>
    <w:pPr>
      <w:widowControl/>
      <w:adjustRightInd/>
      <w:snapToGrid/>
      <w:spacing w:line="276" w:lineRule="auto"/>
      <w:ind w:firstLine="0" w:firstLineChars="0"/>
      <w:jc w:val="center"/>
    </w:pPr>
    <w:rPr>
      <w:rFonts w:ascii="Calibri" w:hAnsi="Calibri" w:eastAsia="宋体" w:cs="宋体"/>
      <w:kern w:val="0"/>
      <w:sz w:val="20"/>
      <w:szCs w:val="20"/>
    </w:rPr>
  </w:style>
  <w:style w:type="paragraph" w:customStyle="1" w:styleId="72">
    <w:name w:val="MSG_EN_FONT_STYLE_NAME_TEMPLATE_ROLE_NUMBER MSG_EN_FONT_STYLE_NAME_BY_ROLE_TEXT 2"/>
    <w:basedOn w:val="1"/>
    <w:qFormat/>
    <w:uiPriority w:val="0"/>
    <w:pPr>
      <w:shd w:val="clear" w:color="auto" w:fill="FFFFFF"/>
      <w:adjustRightInd/>
      <w:snapToGrid/>
      <w:spacing w:after="540" w:line="222" w:lineRule="exact"/>
    </w:pPr>
    <w:rPr>
      <w:rFonts w:ascii="PMingLiU" w:hAnsi="PMingLiU" w:eastAsia="PMingLiU" w:cs="PMingLiU"/>
      <w:sz w:val="19"/>
      <w:szCs w:val="19"/>
    </w:rPr>
  </w:style>
  <w:style w:type="paragraph" w:customStyle="1" w:styleId="73">
    <w:name w:val="无间隔111"/>
    <w:qFormat/>
    <w:uiPriority w:val="0"/>
    <w:pPr>
      <w:widowControl w:val="0"/>
      <w:spacing w:line="80" w:lineRule="atLeast"/>
      <w:ind w:firstLine="403"/>
      <w:jc w:val="center"/>
    </w:pPr>
    <w:rPr>
      <w:rFonts w:ascii="Times New Roman" w:hAnsi="Times New Roman" w:eastAsia="宋体" w:cs="Times New Roman"/>
      <w:kern w:val="2"/>
      <w:sz w:val="21"/>
      <w:szCs w:val="22"/>
      <w:lang w:val="en-US" w:eastAsia="zh-CN" w:bidi="ar-SA"/>
    </w:rPr>
  </w:style>
  <w:style w:type="paragraph" w:customStyle="1" w:styleId="74">
    <w:name w:val="无间隔11"/>
    <w:qFormat/>
    <w:uiPriority w:val="0"/>
    <w:pPr>
      <w:widowControl w:val="0"/>
      <w:spacing w:line="80" w:lineRule="atLeast"/>
      <w:ind w:firstLine="403"/>
      <w:jc w:val="center"/>
    </w:pPr>
    <w:rPr>
      <w:rFonts w:ascii="Times New Roman" w:hAnsi="Times New Roman" w:eastAsia="宋体" w:cs="Times New Roman"/>
      <w:kern w:val="2"/>
      <w:sz w:val="21"/>
      <w:szCs w:val="22"/>
      <w:lang w:val="en-US" w:eastAsia="zh-CN" w:bidi="ar-SA"/>
    </w:rPr>
  </w:style>
  <w:style w:type="paragraph" w:customStyle="1" w:styleId="75">
    <w:name w:val="无间隔2"/>
    <w:qFormat/>
    <w:uiPriority w:val="0"/>
    <w:pPr>
      <w:widowControl w:val="0"/>
      <w:spacing w:line="80" w:lineRule="atLeast"/>
      <w:ind w:firstLine="403"/>
      <w:jc w:val="center"/>
    </w:pPr>
    <w:rPr>
      <w:rFonts w:ascii="Calibri" w:hAnsi="Calibri" w:eastAsia="宋体" w:cs="Times New Roman"/>
      <w:kern w:val="2"/>
      <w:sz w:val="21"/>
      <w:szCs w:val="22"/>
      <w:lang w:val="en-US" w:eastAsia="zh-CN" w:bidi="ar-SA"/>
    </w:rPr>
  </w:style>
  <w:style w:type="character" w:customStyle="1" w:styleId="76">
    <w:name w:val="number"/>
    <w:basedOn w:val="39"/>
    <w:qFormat/>
    <w:uiPriority w:val="0"/>
    <w:rPr>
      <w:rFonts w:cs="Times New Roman"/>
    </w:rPr>
  </w:style>
  <w:style w:type="character" w:customStyle="1" w:styleId="77">
    <w:name w:val="HTML 预设格式 Char"/>
    <w:basedOn w:val="39"/>
    <w:link w:val="31"/>
    <w:qFormat/>
    <w:locked/>
    <w:uiPriority w:val="0"/>
    <w:rPr>
      <w:rFonts w:ascii="Courier New" w:hAnsi="Courier New" w:eastAsia="宋体"/>
      <w:lang w:bidi="ar-SA"/>
    </w:rPr>
  </w:style>
  <w:style w:type="paragraph" w:customStyle="1" w:styleId="78">
    <w:name w:val="s105"/>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24"/>
    </w:rPr>
  </w:style>
  <w:style w:type="character" w:customStyle="1" w:styleId="79">
    <w:name w:val="s15"/>
    <w:basedOn w:val="39"/>
    <w:qFormat/>
    <w:uiPriority w:val="0"/>
    <w:rPr>
      <w:rFonts w:cs="Times New Roman"/>
    </w:rPr>
  </w:style>
  <w:style w:type="paragraph" w:customStyle="1" w:styleId="80">
    <w:name w:val="s106"/>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24"/>
    </w:rPr>
  </w:style>
  <w:style w:type="paragraph" w:customStyle="1" w:styleId="81">
    <w:name w:val="reader-word-layer"/>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24"/>
    </w:rPr>
  </w:style>
  <w:style w:type="paragraph" w:customStyle="1" w:styleId="82">
    <w:name w:val="p18"/>
    <w:basedOn w:val="1"/>
    <w:qFormat/>
    <w:uiPriority w:val="0"/>
    <w:pPr>
      <w:widowControl/>
      <w:adjustRightInd/>
      <w:snapToGrid/>
      <w:spacing w:line="240" w:lineRule="auto"/>
      <w:ind w:firstLine="0" w:firstLineChars="0"/>
    </w:pPr>
    <w:rPr>
      <w:rFonts w:eastAsia="宋体"/>
      <w:kern w:val="0"/>
      <w:sz w:val="21"/>
      <w:szCs w:val="21"/>
    </w:rPr>
  </w:style>
  <w:style w:type="character" w:customStyle="1" w:styleId="83">
    <w:name w:val="纯文本 Char"/>
    <w:basedOn w:val="39"/>
    <w:link w:val="17"/>
    <w:qFormat/>
    <w:uiPriority w:val="0"/>
    <w:rPr>
      <w:rFonts w:ascii="宋体" w:hAnsi="Courier New" w:eastAsia="宋体"/>
      <w:szCs w:val="21"/>
      <w:lang w:val="en-US" w:eastAsia="zh-CN" w:bidi="ar-SA"/>
    </w:rPr>
  </w:style>
  <w:style w:type="paragraph" w:customStyle="1" w:styleId="84">
    <w:name w:val="正文1"/>
    <w:basedOn w:val="1"/>
    <w:qFormat/>
    <w:uiPriority w:val="0"/>
    <w:pPr>
      <w:adjustRightInd/>
      <w:snapToGrid/>
      <w:spacing w:line="240" w:lineRule="auto"/>
      <w:ind w:firstLine="0" w:firstLineChars="0"/>
    </w:pPr>
    <w:rPr>
      <w:rFonts w:eastAsia="宋体"/>
      <w:sz w:val="21"/>
      <w:szCs w:val="21"/>
    </w:rPr>
  </w:style>
  <w:style w:type="character" w:customStyle="1" w:styleId="85">
    <w:name w:val="标题 4 Char"/>
    <w:basedOn w:val="39"/>
    <w:qFormat/>
    <w:uiPriority w:val="9"/>
    <w:rPr>
      <w:rFonts w:eastAsia="仿宋_GB2312"/>
      <w:bCs/>
      <w:kern w:val="2"/>
      <w:sz w:val="32"/>
      <w:szCs w:val="28"/>
      <w:lang w:val="en-US" w:eastAsia="zh-CN" w:bidi="ar-SA"/>
    </w:rPr>
  </w:style>
  <w:style w:type="character" w:customStyle="1" w:styleId="86">
    <w:name w:val="正文文本 Char"/>
    <w:basedOn w:val="39"/>
    <w:link w:val="2"/>
    <w:qFormat/>
    <w:uiPriority w:val="99"/>
    <w:rPr>
      <w:rFonts w:eastAsia="仿宋_GB2312"/>
      <w:kern w:val="2"/>
      <w:sz w:val="32"/>
      <w:szCs w:val="24"/>
    </w:rPr>
  </w:style>
  <w:style w:type="character" w:customStyle="1" w:styleId="87">
    <w:name w:val="正文首行缩进 Char"/>
    <w:basedOn w:val="86"/>
    <w:link w:val="35"/>
    <w:qFormat/>
    <w:uiPriority w:val="0"/>
  </w:style>
  <w:style w:type="character" w:customStyle="1" w:styleId="88">
    <w:name w:val="正文文本缩进 Char"/>
    <w:basedOn w:val="39"/>
    <w:link w:val="14"/>
    <w:qFormat/>
    <w:uiPriority w:val="0"/>
    <w:rPr>
      <w:rFonts w:eastAsia="仿宋_GB2312"/>
      <w:kern w:val="2"/>
      <w:sz w:val="32"/>
      <w:szCs w:val="24"/>
    </w:rPr>
  </w:style>
  <w:style w:type="character" w:customStyle="1" w:styleId="89">
    <w:name w:val="正文首行缩进 2 Char"/>
    <w:basedOn w:val="88"/>
    <w:link w:val="36"/>
    <w:qFormat/>
    <w:uiPriority w:val="0"/>
  </w:style>
  <w:style w:type="character" w:customStyle="1" w:styleId="90">
    <w:name w:val="批注文字 Char"/>
    <w:basedOn w:val="39"/>
    <w:link w:val="12"/>
    <w:qFormat/>
    <w:uiPriority w:val="99"/>
    <w:rPr>
      <w:rFonts w:eastAsia="仿宋"/>
      <w:sz w:val="32"/>
    </w:rPr>
  </w:style>
  <w:style w:type="character" w:customStyle="1" w:styleId="91">
    <w:name w:val="副标题 Char"/>
    <w:basedOn w:val="39"/>
    <w:link w:val="25"/>
    <w:qFormat/>
    <w:uiPriority w:val="0"/>
    <w:rPr>
      <w:rFonts w:ascii="宋体" w:hAnsi="Cambria"/>
      <w:b/>
      <w:bCs/>
      <w:kern w:val="28"/>
      <w:sz w:val="44"/>
      <w:szCs w:val="32"/>
      <w:lang w:val="en-US" w:eastAsia="zh-CN" w:bidi="ar-SA"/>
    </w:rPr>
  </w:style>
  <w:style w:type="character" w:customStyle="1" w:styleId="92">
    <w:name w:val="正文文本 2 Char"/>
    <w:basedOn w:val="39"/>
    <w:link w:val="30"/>
    <w:qFormat/>
    <w:uiPriority w:val="99"/>
    <w:rPr>
      <w:rFonts w:eastAsia="仿宋"/>
      <w:kern w:val="2"/>
      <w:sz w:val="32"/>
      <w:szCs w:val="22"/>
    </w:rPr>
  </w:style>
  <w:style w:type="character" w:customStyle="1" w:styleId="93">
    <w:name w:val="标题 Char"/>
    <w:basedOn w:val="39"/>
    <w:link w:val="33"/>
    <w:qFormat/>
    <w:uiPriority w:val="10"/>
    <w:rPr>
      <w:rFonts w:ascii="Cambria" w:hAnsi="Cambria"/>
      <w:b/>
      <w:bCs/>
      <w:sz w:val="36"/>
      <w:szCs w:val="32"/>
    </w:rPr>
  </w:style>
  <w:style w:type="character" w:customStyle="1" w:styleId="94">
    <w:name w:val="批注主题 Char"/>
    <w:basedOn w:val="90"/>
    <w:link w:val="34"/>
    <w:qFormat/>
    <w:uiPriority w:val="99"/>
    <w:rPr>
      <w:b/>
      <w:bCs/>
    </w:rPr>
  </w:style>
  <w:style w:type="character" w:customStyle="1" w:styleId="95">
    <w:name w:val="font31"/>
    <w:qFormat/>
    <w:uiPriority w:val="0"/>
    <w:rPr>
      <w:rFonts w:hint="eastAsia" w:ascii="宋体" w:hAnsi="宋体" w:eastAsia="宋体" w:cs="宋体"/>
      <w:color w:val="000000"/>
      <w:sz w:val="20"/>
      <w:szCs w:val="20"/>
      <w:u w:val="none"/>
    </w:rPr>
  </w:style>
  <w:style w:type="character" w:customStyle="1" w:styleId="96">
    <w:name w:val="标题 3 字符"/>
    <w:qFormat/>
    <w:uiPriority w:val="9"/>
    <w:rPr>
      <w:rFonts w:ascii="仿宋_GB2312" w:eastAsia="仿宋_GB2312"/>
      <w:b/>
      <w:bCs/>
      <w:sz w:val="32"/>
      <w:szCs w:val="32"/>
    </w:rPr>
  </w:style>
  <w:style w:type="character" w:customStyle="1" w:styleId="97">
    <w:name w:val="font61"/>
    <w:qFormat/>
    <w:uiPriority w:val="0"/>
    <w:rPr>
      <w:rFonts w:hint="eastAsia" w:ascii="宋体" w:hAnsi="宋体" w:eastAsia="宋体" w:cs="宋体"/>
      <w:color w:val="000000"/>
      <w:sz w:val="20"/>
      <w:szCs w:val="20"/>
      <w:u w:val="none"/>
    </w:rPr>
  </w:style>
  <w:style w:type="paragraph" w:customStyle="1" w:styleId="98">
    <w:name w:val="_Style 6"/>
    <w:basedOn w:val="1"/>
    <w:qFormat/>
    <w:uiPriority w:val="0"/>
    <w:pPr>
      <w:snapToGrid/>
      <w:spacing w:line="600" w:lineRule="exact"/>
      <w:ind w:firstLine="0" w:firstLineChars="0"/>
    </w:pPr>
    <w:rPr>
      <w:rFonts w:ascii="Tahoma" w:hAnsi="Tahoma" w:eastAsia="仿宋"/>
      <w:sz w:val="24"/>
      <w:szCs w:val="20"/>
    </w:rPr>
  </w:style>
  <w:style w:type="paragraph" w:customStyle="1" w:styleId="99">
    <w:name w:val="_Style 98"/>
    <w:unhideWhenUsed/>
    <w:qFormat/>
    <w:uiPriority w:val="99"/>
    <w:rPr>
      <w:rFonts w:ascii="Times New Roman" w:hAnsi="Times New Roman" w:eastAsia="仿宋" w:cs="Times New Roman"/>
      <w:kern w:val="2"/>
      <w:sz w:val="32"/>
      <w:szCs w:val="22"/>
      <w:lang w:val="en-US" w:eastAsia="zh-CN" w:bidi="ar-SA"/>
    </w:rPr>
  </w:style>
  <w:style w:type="paragraph" w:styleId="100">
    <w:name w:val="List Paragraph"/>
    <w:basedOn w:val="1"/>
    <w:qFormat/>
    <w:uiPriority w:val="99"/>
    <w:pPr>
      <w:adjustRightInd/>
      <w:snapToGrid/>
      <w:spacing w:line="600" w:lineRule="exact"/>
      <w:ind w:firstLine="420"/>
    </w:pPr>
    <w:rPr>
      <w:rFonts w:eastAsia="仿宋"/>
      <w:szCs w:val="22"/>
    </w:rPr>
  </w:style>
  <w:style w:type="paragraph" w:customStyle="1" w:styleId="10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27</Pages>
  <Words>2565</Words>
  <Characters>14627</Characters>
  <Lines>121</Lines>
  <Paragraphs>34</Paragraphs>
  <TotalTime>26</TotalTime>
  <ScaleCrop>false</ScaleCrop>
  <LinksUpToDate>false</LinksUpToDate>
  <CharactersWithSpaces>17158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2021-12-09T02:07:00Z</dcterms:created>
  <dc:creator>walkinnet</dc:creator>
  <cp:lastModifiedBy>贵琳</cp:lastModifiedBy>
  <cp:lastPrinted>2019-04-25T09:22:00Z</cp:lastPrinted>
  <dcterms:modified xsi:type="dcterms:W3CDTF">2023-07-17T09:41:12Z</dcterms:modified>
  <dc:title>湘农函〔2014〕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EA822FEE170E48E2AA2669A1CDB5FB3E</vt:lpwstr>
  </property>
</Properties>
</file>